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pStyle w:val="PO159"/>
        <w:numPr>
          <w:ilvl w:val="0"/>
          <w:numId w:val="0"/>
        </w:numPr>
        <w:jc w:val="center"/>
        <w:spacing w:lineRule="auto" w:line="360" w:before="280" w:beforeAutospacing="1" w:afterAutospacing="1" w:after="280"/>
        <w:ind w:right="0" w:firstLine="0"/>
        <w:rPr>
          <w:b w:val="1"/>
          <w:color w:val="FF6600"/>
          <w:position w:val="0"/>
          <w:sz w:val="18"/>
          <w:szCs w:val="18"/>
          <w:rFonts w:ascii="ˎ̥" w:eastAsia="宋体" w:hAnsi="宋体" w:hint="default"/>
        </w:rPr>
        <w:autoSpaceDE w:val="1"/>
        <w:autoSpaceDN w:val="1"/>
      </w:pPr>
      <w:r>
        <w:rPr>
          <w:sz w:val="20"/>
        </w:rPr>
        <w:drawing>
          <wp:inline distT="0" distB="0" distL="0" distR="0">
            <wp:extent cx="3663950" cy="387350"/>
            <wp:effectExtent l="0" t="0" r="0" b="0"/>
            <wp:docPr id="9" name="图片 1" descr="学校LOGO中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istrator/AppData/Roaming/JisuOffice/ETemp/7236_2863288/image1.png"/>
                    <pic:cNvPicPr>
                      <a:picLocks noChangeAspect="1" noChangeArrowheads="1"/>
                    </pic:cNvPicPr>
                  </pic:nvPicPr>
                  <pic:blipFill>
                    <a:blip r:embed="rId5"/>
                    <a:srcRect/>
                    <a:stretch>
                      <a:fillRect/>
                    </a:stretch>
                  </pic:blipFill>
                  <pic:spPr>
                    <a:xfrm>
                      <a:off x="0" y="0"/>
                      <a:ext cx="3664585" cy="387985"/>
                    </a:xfrm>
                    <a:prstGeom prst="rect"/>
                    <a:noFill/>
                    <a:ln cap="flat">
                      <a:noFill/>
                    </a:ln>
                  </pic:spPr>
                </pic:pic>
              </a:graphicData>
            </a:graphic>
          </wp:inline>
        </w:drawing>
      </w:r>
    </w:p>
    <w:p>
      <w:pPr>
        <w:numPr>
          <w:ilvl w:val="0"/>
          <w:numId w:val="0"/>
        </w:numPr>
        <w:jc w:val="center"/>
        <w:spacing w:lineRule="auto" w:line="240" w:before="0" w:after="0"/>
        <w:ind w:right="0" w:firstLine="0"/>
        <w:rPr>
          <w:b w:val="1"/>
          <w:color w:val="auto"/>
          <w:position w:val="0"/>
          <w:sz w:val="44"/>
          <w:szCs w:val="44"/>
          <w:rFonts w:ascii="黑体" w:eastAsia="黑体" w:hAnsi="黑体" w:hint="default"/>
        </w:rPr>
        <w:autoSpaceDE w:val="1"/>
        <w:autoSpaceDN w:val="1"/>
      </w:pPr>
      <w:r>
        <w:rPr>
          <w:b w:val="1"/>
          <w:color w:val="auto"/>
          <w:position w:val="0"/>
          <w:sz w:val="44"/>
          <w:szCs w:val="44"/>
          <w:rFonts w:ascii="黑体" w:eastAsia="黑体" w:hAnsi="黑体" w:hint="default"/>
        </w:rPr>
        <w:t>留学生申请指南</w:t>
      </w:r>
    </w:p>
    <w:p>
      <w:pPr>
        <w:numPr>
          <w:ilvl w:val="0"/>
          <w:numId w:val="0"/>
        </w:numPr>
        <w:jc w:val="left"/>
        <w:spacing w:lineRule="auto" w:line="240" w:before="0" w:after="0"/>
        <w:ind w:right="0" w:firstLine="0"/>
        <w:rPr>
          <w:color w:val="auto"/>
          <w:position w:val="0"/>
          <w:sz w:val="21"/>
          <w:szCs w:val="21"/>
          <w:rFonts w:ascii="Calibri" w:eastAsia="宋体" w:hAnsi="宋体" w:hint="default"/>
        </w:rPr>
        <w:autoSpaceDE w:val="1"/>
        <w:autoSpaceDN w:val="1"/>
      </w:pPr>
    </w:p>
    <w:p>
      <w:pPr>
        <w:numPr>
          <w:ilvl w:val="0"/>
          <w:numId w:val="0"/>
        </w:numPr>
        <w:jc w:val="left"/>
        <w:spacing w:lineRule="auto" w:line="240" w:before="0" w:after="0"/>
        <w:ind w:right="0" w:firstLine="565"/>
        <w:rPr>
          <w:b w:val="1"/>
          <w:color w:val="auto"/>
          <w:position w:val="0"/>
          <w:sz w:val="28"/>
          <w:szCs w:val="28"/>
          <w:rFonts w:ascii="Calibri" w:eastAsia="宋体" w:hAnsi="宋体" w:hint="default"/>
        </w:rPr>
        <w:autoSpaceDE w:val="1"/>
        <w:autoSpaceDN w:val="1"/>
      </w:pPr>
      <w:r>
        <w:rPr>
          <w:b w:val="1"/>
          <w:color w:val="auto"/>
          <w:position w:val="0"/>
          <w:sz w:val="28"/>
          <w:szCs w:val="28"/>
          <w:rFonts w:ascii="Calibri" w:eastAsia="宋体" w:hAnsi="宋体" w:hint="default"/>
        </w:rPr>
        <w:t>一、学院概况</w:t>
      </w: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四川交通职业技术学院是公办全日制普通高等学校，隶属于四川省交通运输</w:t>
      </w:r>
      <w:r>
        <w:rPr>
          <w:color w:val="auto"/>
          <w:position w:val="0"/>
          <w:sz w:val="24"/>
          <w:szCs w:val="24"/>
          <w:rFonts w:ascii="Calibri" w:eastAsia="宋体" w:hAnsi="宋体" w:hint="default"/>
        </w:rPr>
        <w:t>厅，始建于1952年。学院是国家示范性高等职业院校、四川省高端技术技能型本</w:t>
      </w:r>
      <w:r>
        <w:rPr>
          <w:color w:val="auto"/>
          <w:position w:val="0"/>
          <w:sz w:val="24"/>
          <w:szCs w:val="24"/>
          <w:rFonts w:ascii="Calibri" w:eastAsia="宋体" w:hAnsi="宋体" w:hint="default"/>
        </w:rPr>
        <w:t>科试点院校、全国职业院校就业竞争力示范校、全国职业教育先进单位、全国文</w:t>
      </w:r>
      <w:r>
        <w:rPr>
          <w:color w:val="auto"/>
          <w:position w:val="0"/>
          <w:sz w:val="24"/>
          <w:szCs w:val="24"/>
          <w:rFonts w:ascii="Calibri" w:eastAsia="宋体" w:hAnsi="宋体" w:hint="default"/>
        </w:rPr>
        <w:t>明单位。</w:t>
      </w: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学院位于成都市温江区，占地1033亩，全日制在校生13000余人。设有道路</w:t>
      </w:r>
      <w:r>
        <w:rPr>
          <w:color w:val="auto"/>
          <w:position w:val="0"/>
          <w:sz w:val="24"/>
          <w:szCs w:val="24"/>
          <w:rFonts w:ascii="Calibri" w:eastAsia="宋体" w:hAnsi="宋体" w:hint="default"/>
        </w:rPr>
        <w:t>与桥梁工程系、汽车工程系、运输工程系、航运工程系、轨道交通工程系、信息</w:t>
      </w:r>
      <w:r>
        <w:rPr>
          <w:color w:val="auto"/>
          <w:position w:val="0"/>
          <w:sz w:val="24"/>
          <w:szCs w:val="24"/>
          <w:rFonts w:ascii="Calibri" w:eastAsia="宋体" w:hAnsi="宋体" w:hint="default"/>
        </w:rPr>
        <w:t>工程系、建筑工程系、机电工程系、经济管理系、人文艺术系、公共课教学部和</w:t>
      </w:r>
      <w:r>
        <w:rPr>
          <w:color w:val="auto"/>
          <w:position w:val="0"/>
          <w:sz w:val="24"/>
          <w:szCs w:val="24"/>
          <w:rFonts w:ascii="Calibri" w:eastAsia="宋体" w:hAnsi="宋体" w:hint="default"/>
        </w:rPr>
        <w:t>思想政治理论课教学部12个教学系部。开设本科专业2个，专科专业45个，其中</w:t>
      </w:r>
      <w:r>
        <w:rPr>
          <w:color w:val="auto"/>
          <w:position w:val="0"/>
          <w:sz w:val="24"/>
          <w:szCs w:val="24"/>
          <w:rFonts w:ascii="Calibri" w:eastAsia="宋体" w:hAnsi="宋体" w:hint="default"/>
        </w:rPr>
        <w:t>国家示范专业4个、省级示范专业4个、省级重点专业4个。现有教职工1000</w:t>
      </w:r>
      <w:r>
        <w:rPr>
          <w:color w:val="auto"/>
          <w:position w:val="0"/>
          <w:sz w:val="24"/>
          <w:szCs w:val="24"/>
          <w:rFonts w:ascii="Calibri" w:eastAsia="宋体" w:hAnsi="宋体" w:hint="default"/>
        </w:rPr>
        <w:t>余人，其中教授、教授级高级工程师、研究员27人，副教授、高级工程师、副研</w:t>
      </w:r>
      <w:r>
        <w:rPr>
          <w:color w:val="auto"/>
          <w:position w:val="0"/>
          <w:sz w:val="24"/>
          <w:szCs w:val="24"/>
          <w:rFonts w:ascii="Calibri" w:eastAsia="宋体" w:hAnsi="宋体" w:hint="default"/>
        </w:rPr>
        <w:t>究员和博士研究生150余名，有省级教学团队4个，享受国务院特殊津贴专家</w:t>
      </w:r>
      <w:r>
        <w:rPr>
          <w:color w:val="auto"/>
          <w:position w:val="0"/>
          <w:sz w:val="24"/>
          <w:szCs w:val="24"/>
          <w:rFonts w:ascii="Calibri" w:eastAsia="宋体" w:hAnsi="宋体" w:hint="default"/>
        </w:rPr>
        <w:t>1人，中组部“万人计划”教学名师1人，国家高层次人才特殊支持计划教学名</w:t>
      </w:r>
      <w:r>
        <w:rPr>
          <w:color w:val="auto"/>
          <w:position w:val="0"/>
          <w:sz w:val="24"/>
          <w:szCs w:val="24"/>
          <w:rFonts w:ascii="Calibri" w:eastAsia="宋体" w:hAnsi="宋体" w:hint="default"/>
        </w:rPr>
        <w:t>师1人，全国模范教师1人，四川省学术和技术带头人1人，四川省学术和技术带</w:t>
      </w:r>
      <w:r>
        <w:rPr>
          <w:color w:val="auto"/>
          <w:position w:val="0"/>
          <w:sz w:val="24"/>
          <w:szCs w:val="24"/>
          <w:rFonts w:ascii="Calibri" w:eastAsia="宋体" w:hAnsi="宋体" w:hint="default"/>
        </w:rPr>
        <w:t xml:space="preserve">头人后备人选 2人，四川省教学名师4人，交通运输部交通职业教育专业带头人</w:t>
      </w:r>
      <w:r>
        <w:rPr>
          <w:color w:val="auto"/>
          <w:position w:val="0"/>
          <w:sz w:val="24"/>
          <w:szCs w:val="24"/>
          <w:rFonts w:ascii="Calibri" w:eastAsia="宋体" w:hAnsi="宋体" w:hint="default"/>
        </w:rPr>
        <w:t>5人。</w:t>
      </w: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图书馆藏书120万册，教学仪器设备总值1.9亿元，固定资产5.8亿元。建有</w:t>
      </w:r>
      <w:r>
        <w:rPr>
          <w:color w:val="auto"/>
          <w:position w:val="0"/>
          <w:sz w:val="24"/>
          <w:szCs w:val="24"/>
          <w:rFonts w:ascii="Calibri" w:eastAsia="宋体" w:hAnsi="宋体" w:hint="default"/>
        </w:rPr>
        <w:t>国家级实训基地1个，校内实训面积达11万平方米，校外实训基地超过200个。</w:t>
      </w: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学院立足交通，面向市场，服务社会，以“建一流师资队伍、育一流技能人才、</w:t>
      </w:r>
      <w:r>
        <w:rPr>
          <w:color w:val="auto"/>
          <w:position w:val="0"/>
          <w:sz w:val="24"/>
          <w:szCs w:val="24"/>
          <w:rFonts w:ascii="Calibri" w:eastAsia="宋体" w:hAnsi="宋体" w:hint="default"/>
        </w:rPr>
        <w:t>办一流高职院校”为目标，坚持“以服务为宗旨，以就业为导向，走产学研结合的</w:t>
      </w:r>
      <w:r>
        <w:rPr>
          <w:color w:val="auto"/>
          <w:position w:val="0"/>
          <w:sz w:val="24"/>
          <w:szCs w:val="24"/>
          <w:rFonts w:ascii="Calibri" w:eastAsia="宋体" w:hAnsi="宋体" w:hint="default"/>
        </w:rPr>
        <w:t>发展道路”的办学方针，积极探索“校企合作，工学结合”的人才培养模式，已形成</w:t>
      </w:r>
      <w:r>
        <w:rPr>
          <w:color w:val="auto"/>
          <w:position w:val="0"/>
          <w:sz w:val="24"/>
          <w:szCs w:val="24"/>
          <w:rFonts w:ascii="Calibri" w:eastAsia="宋体" w:hAnsi="宋体" w:hint="default"/>
        </w:rPr>
        <w:t>“引名企入校园，融专业入社会，育高素质人才”的办学特色。人才培养质量得到</w:t>
      </w:r>
      <w:r>
        <w:rPr>
          <w:color w:val="auto"/>
          <w:position w:val="0"/>
          <w:sz w:val="24"/>
          <w:szCs w:val="24"/>
          <w:rFonts w:ascii="Calibri" w:eastAsia="宋体" w:hAnsi="宋体" w:hint="default"/>
        </w:rPr>
        <w:t>社会广泛认可，有享受国务院政府特殊津贴的桥梁专家、全国五一劳动奖章获得</w:t>
      </w:r>
      <w:r>
        <w:rPr>
          <w:color w:val="auto"/>
          <w:position w:val="0"/>
          <w:sz w:val="24"/>
          <w:szCs w:val="24"/>
          <w:rFonts w:ascii="Calibri" w:eastAsia="宋体" w:hAnsi="宋体" w:hint="default"/>
        </w:rPr>
        <w:t>者、交通运输部“交通运输行业科技特殊贡献奖”、“十佳全国公路优秀科技工作</w:t>
      </w:r>
      <w:r>
        <w:rPr>
          <w:color w:val="auto"/>
          <w:position w:val="0"/>
          <w:sz w:val="24"/>
          <w:szCs w:val="24"/>
          <w:rFonts w:ascii="Calibri" w:eastAsia="宋体" w:hAnsi="宋体" w:hint="default"/>
        </w:rPr>
        <w:t>者”、“交通运输行业科技创新领军人才”四川省工程设计大师牟廷敏，有在第</w:t>
      </w:r>
      <w:r>
        <w:rPr>
          <w:color w:val="auto"/>
          <w:position w:val="0"/>
          <w:sz w:val="24"/>
          <w:szCs w:val="24"/>
          <w:rFonts w:ascii="Calibri" w:eastAsia="宋体" w:hAnsi="宋体" w:hint="default"/>
        </w:rPr>
        <w:t>44届世界技能大赛上获得“汽车技术”项目银牌、实现了中国在这个赛项上奖牌零</w:t>
      </w:r>
      <w:r>
        <w:rPr>
          <w:color w:val="auto"/>
          <w:position w:val="0"/>
          <w:sz w:val="24"/>
          <w:szCs w:val="24"/>
          <w:rFonts w:ascii="Calibri" w:eastAsia="宋体" w:hAnsi="宋体" w:hint="default"/>
        </w:rPr>
        <w:t>的突破的杨文浩等优秀毕业生和在校生代表。历年来，学院就业率始终保持在</w:t>
      </w:r>
      <w:r>
        <w:rPr>
          <w:color w:val="auto"/>
          <w:position w:val="0"/>
          <w:sz w:val="24"/>
          <w:szCs w:val="24"/>
          <w:rFonts w:ascii="Calibri" w:eastAsia="宋体" w:hAnsi="宋体" w:hint="default"/>
        </w:rPr>
        <w:t>96%以上。数以万计的毕业生已经成为了交通建设、管理一线的重要力量，在四</w:t>
      </w:r>
      <w:r>
        <w:rPr>
          <w:color w:val="auto"/>
          <w:position w:val="0"/>
          <w:sz w:val="24"/>
          <w:szCs w:val="24"/>
          <w:rFonts w:ascii="Calibri" w:eastAsia="宋体" w:hAnsi="宋体" w:hint="default"/>
        </w:rPr>
        <w:t>川乃至经济社会发展中发挥着积极作用。</w:t>
      </w: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为提高国际化办学水平，学院按照国家相关政策，积极探索国际交流合作渠</w:t>
      </w:r>
      <w:r>
        <w:rPr>
          <w:color w:val="auto"/>
          <w:position w:val="0"/>
          <w:sz w:val="24"/>
          <w:szCs w:val="24"/>
          <w:rFonts w:ascii="Calibri" w:eastAsia="宋体" w:hAnsi="宋体" w:hint="default"/>
        </w:rPr>
        <w:t>道，扩大国际交往，在联合办学、师资交流、课程引进等方面卓有成效地开展了</w:t>
      </w:r>
      <w:r>
        <w:rPr>
          <w:color w:val="auto"/>
          <w:position w:val="0"/>
          <w:sz w:val="24"/>
          <w:szCs w:val="24"/>
          <w:rFonts w:ascii="Calibri" w:eastAsia="宋体" w:hAnsi="宋体" w:hint="default"/>
        </w:rPr>
        <w:t xml:space="preserve">工作。先后与新加坡博文学院（Portman Business School）、加拿大戴尔特-泰尔弗</w:t>
      </w:r>
      <w:r>
        <w:rPr>
          <w:color w:val="auto"/>
          <w:position w:val="0"/>
          <w:sz w:val="24"/>
          <w:szCs w:val="24"/>
          <w:rFonts w:ascii="Calibri" w:eastAsia="宋体" w:hAnsi="宋体" w:hint="default"/>
        </w:rPr>
        <w:t xml:space="preserve">国际商学院（Delter – Telfort International Business Institute）和加拿大不列颠哥</w:t>
      </w:r>
      <w:r>
        <w:rPr>
          <w:color w:val="auto"/>
          <w:position w:val="0"/>
          <w:sz w:val="24"/>
          <w:szCs w:val="24"/>
          <w:rFonts w:ascii="Calibri" w:eastAsia="宋体" w:hAnsi="宋体" w:hint="default"/>
        </w:rPr>
        <w:t xml:space="preserve">伦比亚理工学院（British Columbia Institute of Technology）签订联合办学协议；与</w:t>
      </w:r>
      <w:r>
        <w:rPr>
          <w:color w:val="auto"/>
          <w:position w:val="0"/>
          <w:sz w:val="24"/>
          <w:szCs w:val="24"/>
          <w:rFonts w:ascii="Calibri" w:eastAsia="宋体" w:hAnsi="宋体" w:hint="default"/>
        </w:rPr>
        <w:t>老挝琅南塔省教育厅签订留学生项目合作协议；与德国F+U、加拿大红河学院、奥</w:t>
      </w:r>
      <w:r>
        <w:rPr>
          <w:color w:val="auto"/>
          <w:position w:val="0"/>
          <w:sz w:val="24"/>
          <w:szCs w:val="24"/>
          <w:rFonts w:ascii="Calibri" w:eastAsia="宋体" w:hAnsi="宋体" w:hint="default"/>
        </w:rPr>
        <w:t>地利布劳瑙高等职业学校、澳大利亚西悉尼学院、马来西亚马来亚大学、香港职</w:t>
      </w:r>
      <w:r>
        <w:rPr>
          <w:color w:val="auto"/>
          <w:position w:val="0"/>
          <w:sz w:val="24"/>
          <w:szCs w:val="24"/>
          <w:rFonts w:ascii="Calibri" w:eastAsia="宋体" w:hAnsi="宋体" w:hint="default"/>
        </w:rPr>
        <w:t>业训练局等国（境）外教育机构签署合作备忘录；与台湾朝阳科技大学和台北城</w:t>
      </w:r>
      <w:r>
        <w:rPr>
          <w:color w:val="auto"/>
          <w:position w:val="0"/>
          <w:sz w:val="24"/>
          <w:szCs w:val="24"/>
          <w:rFonts w:ascii="Calibri" w:eastAsia="宋体" w:hAnsi="宋体" w:hint="default"/>
        </w:rPr>
        <w:t>市科技大学签署协议并实施交换生项目；还与丰田、宝马、奥迪、大众等国际知</w:t>
      </w:r>
      <w:r>
        <w:rPr>
          <w:color w:val="auto"/>
          <w:position w:val="0"/>
          <w:sz w:val="24"/>
          <w:szCs w:val="24"/>
          <w:rFonts w:ascii="Calibri" w:eastAsia="宋体" w:hAnsi="宋体" w:hint="default"/>
        </w:rPr>
        <w:t>名企业合作建立培训基地，开展职业证书培训。近年来，英国、德国、俄罗斯、加</w:t>
      </w:r>
      <w:r>
        <w:rPr>
          <w:color w:val="auto"/>
          <w:position w:val="0"/>
          <w:sz w:val="24"/>
          <w:szCs w:val="24"/>
          <w:rFonts w:ascii="Calibri" w:eastAsia="宋体" w:hAnsi="宋体" w:hint="default"/>
        </w:rPr>
        <w:t>拿大等国的教育机构先后到学院访问，进行教育交流活动。</w:t>
      </w:r>
    </w:p>
    <w:p>
      <w:pPr>
        <w:numPr>
          <w:ilvl w:val="0"/>
          <w:numId w:val="0"/>
        </w:numPr>
        <w:jc w:val="left"/>
        <w:spacing w:lineRule="auto" w:line="240" w:before="0" w:after="0"/>
        <w:ind w:right="0" w:firstLine="565"/>
        <w:rPr>
          <w:b w:val="1"/>
          <w:color w:val="auto"/>
          <w:position w:val="0"/>
          <w:sz w:val="28"/>
          <w:szCs w:val="28"/>
          <w:rFonts w:ascii="Calibri" w:eastAsia="宋体" w:hAnsi="宋体" w:hint="default"/>
        </w:rPr>
        <w:autoSpaceDE w:val="1"/>
        <w:autoSpaceDN w:val="1"/>
      </w:pPr>
      <w:r>
        <w:rPr>
          <w:b w:val="1"/>
          <w:color w:val="auto"/>
          <w:position w:val="0"/>
          <w:sz w:val="28"/>
          <w:szCs w:val="28"/>
          <w:rFonts w:ascii="Calibri" w:eastAsia="宋体" w:hAnsi="宋体" w:hint="default"/>
        </w:rPr>
        <w:t>二、专业、计划和学制</w:t>
      </w:r>
    </w:p>
    <w:tbl>
      <w:tblID w:val="0"/>
      <w:tblPr>
        <w:tblStyle w:val="PO38"/>
        <w:tblCellMar>
          <w:left w:w="108" w:type="dxa"/>
          <w:top w:w="0" w:type="dxa"/>
          <w:right w:w="108" w:type="dxa"/>
          <w:bottom w:w="0" w:type="dxa"/>
        </w:tblCellMar>
        <w:tblW w:w="0" w:type="auto"/>
        <w:tblLook w:val="0004A0" w:firstRow="1" w:lastRow="0" w:firstColumn="1" w:lastColumn="0" w:noHBand="0" w:noVBand="1"/>
        <w:tblLayout w:type="auto"/>
      </w:tblPr>
      <w:tblGrid>
        <w:gridCol w:w="2969"/>
        <w:gridCol w:w="1594"/>
        <w:gridCol w:w="1787"/>
        <w:gridCol w:w="2117"/>
      </w:tblGrid>
      <w:tr>
        <w:trPr>
          <w:cnfStyle w:val="100000000000" w:firstRow="1" w:lastRow="0" w:firstColumn="0" w:lastColumn="0" w:oddVBand="0" w:evenVBand="0" w:oddHBand="0" w:evenHBand="0" w:firstRowFirstColumn="0" w:firstRowLastColumn="0" w:lastRowFirstColumn="0" w:lastRowLastColumn="0"/>
          <w:trHeight w:hRule="atleast" w:val="364"/>
          <w:hidden w:val="0"/>
        </w:trPr>
        <w:tc>
          <w:tcPr>
            <w:tcW w:type="dxa" w:w="2969"/>
            <w:cnfStyle w:val="101000001000" w:firstRow="1" w:lastRow="0" w:firstColumn="1" w:lastColumn="0" w:oddVBand="0" w:evenVBand="0" w:oddHBand="0" w:evenHBand="0" w:firstRowFirstColumn="1"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招生专业</w:t>
            </w:r>
          </w:p>
        </w:tc>
        <w:tc>
          <w:tcPr>
            <w:tcW w:type="dxa" w:w="1594"/>
            <w:cnfStyle w:val="100000000000" w:firstRow="1" w:lastRow="0" w:firstColumn="0" w:lastColumn="0" w:oddVBand="0" w:evenVBand="0" w:oddHBand="0"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招生计划</w:t>
            </w:r>
          </w:p>
        </w:tc>
        <w:tc>
          <w:tcPr>
            <w:tcW w:type="dxa" w:w="1787"/>
            <w:cnfStyle w:val="100000000000" w:firstRow="1" w:lastRow="0" w:firstColumn="0" w:lastColumn="0" w:oddVBand="0" w:evenVBand="0" w:oddHBand="0"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学制</w:t>
            </w:r>
          </w:p>
        </w:tc>
        <w:tc>
          <w:tcPr>
            <w:tcW w:type="dxa" w:w="2117"/>
            <w:cnfStyle w:val="100000000100" w:firstRow="1" w:lastRow="0" w:firstColumn="0" w:lastColumn="0" w:oddVBand="0" w:evenVBand="0" w:oddHBand="0" w:evenHBand="0" w:firstRowFirstColumn="0" w:firstRowLastColumn="1"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学历</w:t>
            </w:r>
          </w:p>
        </w:tc>
      </w:tr>
      <w:tr>
        <w:trPr>
          <w:cnfStyle w:val="000000100000" w:firstRow="0" w:lastRow="0" w:firstColumn="0" w:lastColumn="0" w:oddVBand="0" w:evenVBand="0" w:oddHBand="1" w:evenHBand="0" w:firstRowFirstColumn="0" w:firstRowLastColumn="0" w:lastRowFirstColumn="0" w:lastRowLastColumn="0"/>
          <w:trHeight w:hRule="atleast" w:val="394"/>
          <w:hidden w:val="0"/>
        </w:trPr>
        <w:tc>
          <w:tcPr>
            <w:tcW w:type="dxa" w:w="2969"/>
            <w:cnfStyle w:val="001000100000" w:firstRow="0" w:lastRow="0" w:firstColumn="1"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汽车运用及维修技术</w:t>
            </w:r>
          </w:p>
        </w:tc>
        <w:tc>
          <w:tcPr>
            <w:tcW w:type="dxa" w:w="1594"/>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20人</w:t>
            </w:r>
          </w:p>
        </w:tc>
        <w:tc>
          <w:tcPr>
            <w:tcW w:type="dxa" w:w="1787"/>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3年</w:t>
            </w:r>
          </w:p>
        </w:tc>
        <w:tc>
          <w:tcPr>
            <w:tcW w:type="dxa" w:w="2117"/>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大专</w:t>
            </w:r>
          </w:p>
        </w:tc>
      </w:tr>
      <w:tr>
        <w:trPr>
          <w:cnfStyle w:val="000000010000" w:firstRow="0" w:lastRow="0" w:firstColumn="0" w:lastColumn="0" w:oddVBand="0" w:evenVBand="0" w:oddHBand="0" w:evenHBand="1" w:firstRowFirstColumn="0" w:firstRowLastColumn="0" w:lastRowFirstColumn="0" w:lastRowLastColumn="0"/>
          <w:trHeight w:hRule="atleast" w:val="51"/>
          <w:hidden w:val="0"/>
        </w:trPr>
        <w:tc>
          <w:tcPr>
            <w:tcW w:type="dxa" w:w="2969"/>
            <w:cnfStyle w:val="001000010000" w:firstRow="0" w:lastRow="0" w:firstColumn="1"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工程造价</w:t>
            </w:r>
          </w:p>
        </w:tc>
        <w:tc>
          <w:tcPr>
            <w:tcW w:type="dxa" w:w="1594"/>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20人</w:t>
            </w:r>
          </w:p>
        </w:tc>
        <w:tc>
          <w:tcPr>
            <w:tcW w:type="dxa" w:w="1787"/>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3年</w:t>
            </w:r>
          </w:p>
        </w:tc>
        <w:tc>
          <w:tcPr>
            <w:tcW w:type="dxa" w:w="2117"/>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大专</w:t>
            </w:r>
          </w:p>
        </w:tc>
      </w:tr>
      <w:tr>
        <w:trPr>
          <w:cnfStyle w:val="000000100000" w:firstRow="0" w:lastRow="0" w:firstColumn="0" w:lastColumn="0" w:oddVBand="0" w:evenVBand="0" w:oddHBand="1" w:evenHBand="0" w:firstRowFirstColumn="0" w:firstRowLastColumn="0" w:lastRowFirstColumn="0" w:lastRowLastColumn="0"/>
          <w:trHeight w:hRule="atleast" w:val="364"/>
          <w:hidden w:val="0"/>
        </w:trPr>
        <w:tc>
          <w:tcPr>
            <w:tcW w:type="dxa" w:w="2969"/>
            <w:cnfStyle w:val="001000100000" w:firstRow="0" w:lastRow="0" w:firstColumn="1"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电子信息工程技术</w:t>
            </w:r>
          </w:p>
        </w:tc>
        <w:tc>
          <w:tcPr>
            <w:tcW w:type="dxa" w:w="1594"/>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20人</w:t>
            </w:r>
          </w:p>
        </w:tc>
        <w:tc>
          <w:tcPr>
            <w:tcW w:type="dxa" w:w="1787"/>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3年</w:t>
            </w:r>
          </w:p>
        </w:tc>
        <w:tc>
          <w:tcPr>
            <w:tcW w:type="dxa" w:w="2117"/>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大专</w:t>
            </w:r>
          </w:p>
        </w:tc>
      </w:tr>
      <w:tr>
        <w:trPr>
          <w:cnfStyle w:val="000000010000" w:firstRow="0" w:lastRow="0" w:firstColumn="0" w:lastColumn="0" w:oddVBand="0" w:evenVBand="0" w:oddHBand="0" w:evenHBand="1" w:firstRowFirstColumn="0" w:firstRowLastColumn="0" w:lastRowFirstColumn="0" w:lastRowLastColumn="0"/>
          <w:trHeight w:hRule="atleast" w:val="375"/>
          <w:hidden w:val="0"/>
        </w:trPr>
        <w:tc>
          <w:tcPr>
            <w:tcW w:type="dxa" w:w="2969"/>
            <w:cnfStyle w:val="001000010000" w:firstRow="0" w:lastRow="0" w:firstColumn="1"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物流管理</w:t>
            </w:r>
          </w:p>
        </w:tc>
        <w:tc>
          <w:tcPr>
            <w:tcW w:type="dxa" w:w="1594"/>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20人</w:t>
            </w:r>
          </w:p>
        </w:tc>
        <w:tc>
          <w:tcPr>
            <w:tcW w:type="dxa" w:w="1787"/>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3年</w:t>
            </w:r>
          </w:p>
        </w:tc>
        <w:tc>
          <w:tcPr>
            <w:tcW w:type="dxa" w:w="2117"/>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大专</w:t>
            </w:r>
          </w:p>
        </w:tc>
      </w:tr>
    </w:tbl>
    <w:p>
      <w:pPr>
        <w:numPr>
          <w:ilvl w:val="0"/>
          <w:numId w:val="0"/>
        </w:numPr>
        <w:jc w:val="both"/>
        <w:spacing w:lineRule="auto" w:line="240" w:before="0" w:after="0"/>
        <w:ind w:right="0" w:firstLine="562"/>
        <w:rPr>
          <w:b w:val="1"/>
          <w:color w:val="auto"/>
          <w:position w:val="0"/>
          <w:sz w:val="28"/>
          <w:szCs w:val="28"/>
          <w:rFonts w:ascii="Calibri" w:eastAsia="宋体" w:hAnsi="宋体" w:hint="default"/>
        </w:rPr>
        <w:autoSpaceDE w:val="1"/>
        <w:autoSpaceDN w:val="1"/>
      </w:pPr>
      <w:r>
        <w:rPr>
          <w:b w:val="1"/>
          <w:color w:val="auto"/>
          <w:position w:val="0"/>
          <w:sz w:val="28"/>
          <w:szCs w:val="28"/>
          <w:rFonts w:ascii="Calibri" w:eastAsia="宋体" w:hAnsi="宋体" w:hint="default"/>
        </w:rPr>
        <w:t>三、申请条件</w:t>
      </w:r>
    </w:p>
    <w:tbl>
      <w:tblID w:val="0"/>
      <w:tblPr>
        <w:tblStyle w:val="PO38"/>
        <w:tblCellMar>
          <w:left w:w="108" w:type="dxa"/>
          <w:top w:w="0" w:type="dxa"/>
          <w:right w:w="108" w:type="dxa"/>
          <w:bottom w:w="0" w:type="dxa"/>
        </w:tblCellMar>
        <w:tblW w:w="8698" w:type="dxa"/>
        <w:tblInd w:w="-176" w:type="dxa"/>
        <w:tblLook w:val="0004A0" w:firstRow="1" w:lastRow="0" w:firstColumn="1" w:lastColumn="0" w:noHBand="0" w:noVBand="1"/>
        <w:tblLayout w:type="fixed"/>
      </w:tblPr>
      <w:tblGrid>
        <w:gridCol w:w="1277"/>
        <w:gridCol w:w="4061"/>
        <w:gridCol w:w="1650"/>
        <w:gridCol w:w="1710"/>
      </w:tblGrid>
      <w:tr>
        <w:trPr>
          <w:cnfStyle w:val="100000000000" w:firstRow="1" w:lastRow="0" w:firstColumn="0" w:lastColumn="0" w:oddVBand="0" w:evenVBand="0" w:oddHBand="0" w:evenHBand="0" w:firstRowFirstColumn="0" w:firstRowLastColumn="0" w:lastRowFirstColumn="0" w:lastRowLastColumn="0"/>
          <w:trHeight w:hRule="atleast" w:val="187"/>
          <w:hidden w:val="0"/>
        </w:trPr>
        <w:tc>
          <w:tcPr>
            <w:tcW w:type="dxa" w:w="1277"/>
            <w:cnfStyle w:val="101000001000" w:firstRow="1" w:lastRow="0" w:firstColumn="1" w:lastColumn="0" w:oddVBand="0" w:evenVBand="0" w:oddHBand="0" w:evenHBand="0" w:firstRowFirstColumn="1"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学生类别</w:t>
            </w:r>
          </w:p>
        </w:tc>
        <w:tc>
          <w:tcPr>
            <w:tcW w:type="dxa" w:w="4061"/>
            <w:cnfStyle w:val="100000000000" w:firstRow="1" w:lastRow="0" w:firstColumn="0" w:lastColumn="0" w:oddVBand="0" w:evenVBand="0" w:oddHBand="0"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申请条件</w:t>
            </w:r>
          </w:p>
        </w:tc>
        <w:tc>
          <w:tcPr>
            <w:tcW w:type="dxa" w:w="1650"/>
            <w:cnfStyle w:val="100000000000" w:firstRow="1" w:lastRow="0" w:firstColumn="0" w:lastColumn="0" w:oddVBand="0" w:evenVBand="0" w:oddHBand="0"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年龄</w:t>
            </w:r>
          </w:p>
        </w:tc>
        <w:tc>
          <w:tcPr>
            <w:tcW w:type="dxa" w:w="1710"/>
            <w:cnfStyle w:val="100000000100" w:firstRow="1" w:lastRow="0" w:firstColumn="0" w:lastColumn="0" w:oddVBand="0" w:evenVBand="0" w:oddHBand="0" w:evenHBand="0" w:firstRowFirstColumn="0" w:firstRowLastColumn="1" w:lastRowFirstColumn="0" w:lastRowLastColumn="0"/>
            <w:vAlign w:val="center"/>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需提供材料</w:t>
            </w:r>
          </w:p>
        </w:tc>
      </w:tr>
      <w:tr>
        <w:trPr>
          <w:cnfStyle w:val="000000100000" w:firstRow="0" w:lastRow="0" w:firstColumn="0" w:lastColumn="0" w:oddVBand="0" w:evenVBand="0" w:oddHBand="1" w:evenHBand="0" w:firstRowFirstColumn="0" w:firstRowLastColumn="0" w:lastRowFirstColumn="0" w:lastRowLastColumn="0"/>
          <w:trHeight w:hRule="atleast" w:val="274"/>
          <w:hidden w:val="0"/>
        </w:trPr>
        <w:tc>
          <w:tcPr>
            <w:tcW w:type="dxa" w:w="1277"/>
            <w:cnfStyle w:val="001000100000" w:firstRow="0" w:lastRow="0" w:firstColumn="1"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专科生</w:t>
            </w:r>
          </w:p>
        </w:tc>
        <w:tc>
          <w:tcPr>
            <w:tcW w:type="dxa" w:w="4061"/>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具有高中或高中以上学历、取得汉语</w:t>
            </w:r>
            <w:r>
              <w:rPr>
                <w:color w:val="auto"/>
                <w:position w:val="0"/>
                <w:sz w:val="24"/>
                <w:szCs w:val="24"/>
                <w:rFonts w:ascii="Calibri" w:eastAsia="宋体" w:hAnsi="宋体" w:hint="default"/>
              </w:rPr>
              <w:t>水平HSK3级证书或者相当于汉语水</w:t>
            </w:r>
            <w:r>
              <w:rPr>
                <w:color w:val="auto"/>
                <w:position w:val="0"/>
                <w:sz w:val="24"/>
                <w:szCs w:val="24"/>
                <w:rFonts w:ascii="Calibri" w:eastAsia="宋体" w:hAnsi="宋体" w:hint="default"/>
              </w:rPr>
              <w:t>平HSK3级水平</w:t>
            </w:r>
          </w:p>
        </w:tc>
        <w:tc>
          <w:tcPr>
            <w:tcW w:type="dxa" w:w="1650"/>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18—26周岁</w:t>
            </w:r>
          </w:p>
        </w:tc>
        <w:tc>
          <w:tcPr>
            <w:tcW w:type="dxa" w:w="1710"/>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最终学历证明</w:t>
            </w:r>
            <w:r>
              <w:rPr>
                <w:color w:val="auto"/>
                <w:position w:val="0"/>
                <w:sz w:val="24"/>
                <w:szCs w:val="24"/>
                <w:rFonts w:ascii="Calibri" w:eastAsia="宋体" w:hAnsi="宋体" w:hint="default"/>
              </w:rPr>
              <w:t>书、HSK证书</w:t>
            </w:r>
          </w:p>
        </w:tc>
      </w:tr>
    </w:tbl>
    <w:p>
      <w:pPr>
        <w:numPr>
          <w:ilvl w:val="0"/>
          <w:numId w:val="0"/>
        </w:numPr>
        <w:jc w:val="both"/>
        <w:spacing w:lineRule="auto" w:line="240" w:before="0" w:after="0"/>
        <w:ind w:right="0" w:firstLine="425"/>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所有申请者需提供如下材料：</w:t>
      </w:r>
    </w:p>
    <w:p>
      <w:pPr>
        <w:numPr>
          <w:ilvl w:val="0"/>
          <w:numId w:val="0"/>
        </w:numPr>
        <w:jc w:val="both"/>
        <w:spacing w:lineRule="auto" w:line="240" w:before="0" w:after="0"/>
        <w:ind w:right="0" w:firstLine="425"/>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入学申请表、护照复印年、学历证明复印件、体检表、2张护照照片、个人简</w:t>
      </w:r>
      <w:r>
        <w:rPr>
          <w:color w:val="auto"/>
          <w:position w:val="0"/>
          <w:sz w:val="24"/>
          <w:szCs w:val="24"/>
          <w:rFonts w:ascii="Calibri" w:eastAsia="宋体" w:hAnsi="宋体" w:hint="default"/>
        </w:rPr>
        <w:t>历。</w:t>
      </w:r>
    </w:p>
    <w:p>
      <w:pPr>
        <w:numPr>
          <w:ilvl w:val="0"/>
          <w:numId w:val="0"/>
        </w:numPr>
        <w:jc w:val="both"/>
        <w:spacing w:lineRule="auto" w:line="240" w:before="0" w:after="0"/>
        <w:ind w:right="0" w:firstLine="565"/>
        <w:rPr>
          <w:b w:val="1"/>
          <w:color w:val="auto"/>
          <w:position w:val="0"/>
          <w:sz w:val="28"/>
          <w:szCs w:val="28"/>
          <w:rFonts w:ascii="Calibri" w:eastAsia="宋体" w:hAnsi="宋体" w:hint="default"/>
        </w:rPr>
        <w:autoSpaceDE w:val="1"/>
        <w:autoSpaceDN w:val="1"/>
      </w:pPr>
      <w:r>
        <w:rPr>
          <w:b w:val="1"/>
          <w:color w:val="auto"/>
          <w:position w:val="0"/>
          <w:sz w:val="28"/>
          <w:szCs w:val="28"/>
          <w:rFonts w:ascii="Calibri" w:eastAsia="宋体" w:hAnsi="宋体" w:hint="default"/>
        </w:rPr>
        <w:t>四、奖学金</w:t>
      </w:r>
    </w:p>
    <w:p>
      <w:pPr>
        <w:numPr>
          <w:ilvl w:val="0"/>
          <w:numId w:val="0"/>
        </w:numPr>
        <w:jc w:val="both"/>
        <w:spacing w:lineRule="auto" w:line="240" w:before="0" w:after="0"/>
        <w:ind w:right="0" w:firstLine="425"/>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（一）提供学费、住宿费、书籍费、保险费等额的奖学金；</w:t>
      </w:r>
    </w:p>
    <w:p>
      <w:pPr>
        <w:numPr>
          <w:ilvl w:val="0"/>
          <w:numId w:val="0"/>
        </w:numPr>
        <w:jc w:val="both"/>
        <w:spacing w:lineRule="auto" w:line="240" w:before="0" w:after="0"/>
        <w:ind w:right="0" w:firstLine="425"/>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（二）提供生活补助：600元/人.月，每年按十个月计发。</w:t>
      </w:r>
    </w:p>
    <w:p>
      <w:pPr>
        <w:numPr>
          <w:ilvl w:val="0"/>
          <w:numId w:val="0"/>
        </w:numPr>
        <w:jc w:val="both"/>
        <w:spacing w:lineRule="auto" w:line="240" w:before="0" w:after="0"/>
        <w:ind w:right="0" w:firstLine="551"/>
        <w:rPr>
          <w:b w:val="1"/>
          <w:color w:val="auto"/>
          <w:position w:val="0"/>
          <w:sz w:val="28"/>
          <w:szCs w:val="28"/>
          <w:rFonts w:ascii="Calibri" w:eastAsia="宋体" w:hAnsi="宋体" w:hint="default"/>
        </w:rPr>
        <w:autoSpaceDE w:val="1"/>
        <w:autoSpaceDN w:val="1"/>
      </w:pPr>
      <w:r>
        <w:rPr>
          <w:b w:val="1"/>
          <w:color w:val="auto"/>
          <w:position w:val="0"/>
          <w:sz w:val="28"/>
          <w:szCs w:val="28"/>
          <w:rFonts w:ascii="Calibri" w:eastAsia="宋体" w:hAnsi="宋体" w:hint="default"/>
        </w:rPr>
        <w:t>五、申请程序</w:t>
      </w:r>
    </w:p>
    <w:p>
      <w:pPr>
        <w:numPr>
          <w:ilvl w:val="0"/>
          <w:numId w:val="0"/>
        </w:numPr>
        <w:jc w:val="both"/>
        <w:spacing w:lineRule="auto" w:line="360" w:before="0" w:after="0"/>
        <w:ind w:left="140"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 xml:space="preserve">学院与老挝、马来西亚、泰国、孟加拉国、巴基斯坦等 “一带一路”国家的</w:t>
      </w:r>
      <w:r>
        <w:rPr>
          <w:color w:val="auto"/>
          <w:position w:val="0"/>
          <w:sz w:val="24"/>
          <w:szCs w:val="24"/>
          <w:rFonts w:ascii="Calibri" w:eastAsia="宋体" w:hAnsi="宋体" w:hint="default"/>
        </w:rPr>
        <w:t>政府部门、大学、中学签订人才培养协议，凡有意愿来我院留学的境外公民，请</w:t>
      </w:r>
      <w:r>
        <w:rPr>
          <w:color w:val="auto"/>
          <w:position w:val="0"/>
          <w:sz w:val="24"/>
          <w:szCs w:val="24"/>
          <w:rFonts w:ascii="Calibri" w:eastAsia="宋体" w:hAnsi="宋体" w:hint="default"/>
        </w:rPr>
        <w:t>自行前往中国驻上述国家侨务使领馆及华人华侨社团组织索取留学生招生宣传</w:t>
      </w:r>
      <w:r>
        <w:rPr>
          <w:color w:val="auto"/>
          <w:position w:val="0"/>
          <w:sz w:val="24"/>
          <w:szCs w:val="24"/>
          <w:rFonts w:ascii="Calibri" w:eastAsia="宋体" w:hAnsi="宋体" w:hint="default"/>
        </w:rPr>
        <w:t>资料并提出书面申请。学院驻有关国家招生小组的联系方式通过学院官方媒体</w:t>
      </w:r>
      <w:r>
        <w:rPr>
          <w:color w:val="auto"/>
          <w:position w:val="0"/>
          <w:sz w:val="24"/>
          <w:szCs w:val="24"/>
          <w:rFonts w:ascii="Calibri" w:eastAsia="宋体" w:hAnsi="宋体" w:hint="default"/>
        </w:rPr>
        <w:t>另行公布。</w:t>
      </w:r>
    </w:p>
    <w:p>
      <w:pPr>
        <w:numPr>
          <w:ilvl w:val="0"/>
          <w:numId w:val="0"/>
        </w:numPr>
        <w:jc w:val="both"/>
        <w:spacing w:lineRule="auto" w:line="240" w:before="0" w:after="0"/>
        <w:ind w:right="0" w:firstLine="551"/>
        <w:rPr>
          <w:b w:val="1"/>
          <w:color w:val="auto"/>
          <w:position w:val="0"/>
          <w:sz w:val="28"/>
          <w:szCs w:val="28"/>
          <w:rFonts w:ascii="Calibri" w:eastAsia="宋体" w:hAnsi="宋体" w:hint="default"/>
        </w:rPr>
        <w:autoSpaceDE w:val="1"/>
        <w:autoSpaceDN w:val="1"/>
      </w:pPr>
      <w:r>
        <w:rPr>
          <w:b w:val="1"/>
          <w:color w:val="auto"/>
          <w:position w:val="0"/>
          <w:sz w:val="28"/>
          <w:szCs w:val="28"/>
          <w:rFonts w:ascii="Calibri" w:eastAsia="宋体" w:hAnsi="宋体" w:hint="default"/>
        </w:rPr>
        <w:t xml:space="preserve">六、学院留学生申请联系方式 </w:t>
      </w:r>
    </w:p>
    <w:p>
      <w:pPr>
        <w:numPr>
          <w:ilvl w:val="0"/>
          <w:numId w:val="0"/>
        </w:numPr>
        <w:jc w:val="both"/>
        <w:spacing w:lineRule="auto" w:line="360" w:before="0" w:after="0"/>
        <w:ind w:left="140"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 xml:space="preserve">地址：四川省成都市温江区柳台大道208号   邮编：611130</w:t>
      </w:r>
    </w:p>
    <w:p>
      <w:pPr>
        <w:numPr>
          <w:ilvl w:val="0"/>
          <w:numId w:val="0"/>
        </w:numPr>
        <w:jc w:val="both"/>
        <w:spacing w:lineRule="auto" w:line="360" w:before="0" w:after="0"/>
        <w:ind w:left="140"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 xml:space="preserve">电话/传真：86+28+82681012    86+28+82680064   </w:t>
      </w:r>
    </w:p>
    <w:p>
      <w:pPr>
        <w:numPr>
          <w:ilvl w:val="0"/>
          <w:numId w:val="0"/>
        </w:numPr>
        <w:jc w:val="both"/>
        <w:spacing w:lineRule="auto" w:line="360" w:before="0" w:after="0"/>
        <w:ind w:left="140"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邮箱：</w:t>
      </w:r>
      <w:hyperlink r:id="rId6">
        <w:r>
          <w:rPr>
            <w:color w:val="auto"/>
            <w:position w:val="0"/>
            <w:sz w:val="24"/>
            <w:szCs w:val="24"/>
            <w:rFonts w:ascii="Calibri" w:eastAsia="宋体" w:hAnsi="宋体" w:hint="default"/>
          </w:rPr>
          <w:t>davidliu838@sina.com</w:t>
        </w:r>
      </w:hyperlink>
      <w:r>
        <w:rPr>
          <w:color w:val="auto"/>
          <w:position w:val="0"/>
          <w:sz w:val="24"/>
          <w:szCs w:val="24"/>
          <w:rFonts w:ascii="Calibri" w:eastAsia="宋体" w:hAnsi="宋体" w:hint="default"/>
        </w:rPr>
        <w:t xml:space="preserve">    vannyf@foxmail.com</w:t>
      </w:r>
    </w:p>
    <w:p>
      <w:pPr>
        <w:numPr>
          <w:ilvl w:val="0"/>
          <w:numId w:val="0"/>
        </w:numPr>
        <w:jc w:val="both"/>
        <w:spacing w:lineRule="auto" w:line="360" w:before="0" w:after="0"/>
        <w:ind w:left="140"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网站：</w:t>
      </w:r>
      <w:hyperlink r:id="rId7">
        <w:r>
          <w:rPr>
            <w:rStyle w:val="PO156"/>
            <w:color w:val="0000FF" w:themeColor="hyperlink"/>
            <w:position w:val="0"/>
            <w:sz w:val="24"/>
            <w:szCs w:val="24"/>
            <w:u w:val="single"/>
            <w:rFonts w:ascii="Calibri" w:eastAsia="宋体" w:hAnsi="宋体" w:hint="default"/>
          </w:rPr>
          <w:t>http://www.svtcc.edu.cn/</w:t>
        </w:r>
      </w:hyperlink>
    </w:p>
    <w:p>
      <w:pPr>
        <w:numPr>
          <w:ilvl w:val="0"/>
          <w:numId w:val="0"/>
        </w:numPr>
        <w:jc w:val="both"/>
        <w:spacing w:lineRule="auto" w:line="360" w:before="0" w:after="0"/>
        <w:ind w:right="0" w:firstLine="0"/>
        <w:rPr>
          <w:i w:val="1"/>
          <w:color w:val="auto"/>
          <w:position w:val="0"/>
          <w:sz w:val="24"/>
          <w:szCs w:val="24"/>
          <w:rFonts w:ascii="Calibri" w:eastAsia="宋体" w:hAnsi="宋体" w:hint="default"/>
        </w:rPr>
        <w:autoSpaceDE w:val="1"/>
        <w:autoSpaceDN w:val="1"/>
      </w:pPr>
      <w:r>
        <w:rPr>
          <w:i w:val="1"/>
          <w:b w:val="1"/>
          <w:color w:val="auto"/>
          <w:position w:val="0"/>
          <w:sz w:val="24"/>
          <w:szCs w:val="24"/>
          <w:rFonts w:ascii="宋体" w:eastAsia="宋体" w:hAnsi="宋体" w:hint="default"/>
        </w:rPr>
        <w:t>附件：留学生招生专业介绍</w:t>
      </w:r>
    </w:p>
    <w:p>
      <w:pPr>
        <w:numPr>
          <w:ilvl w:val="0"/>
          <w:numId w:val="0"/>
        </w:numPr>
        <w:jc w:val="center"/>
        <w:spacing w:lineRule="auto" w:line="240" w:before="0" w:after="0"/>
        <w:ind w:right="0" w:firstLine="0"/>
        <w:rPr>
          <w:b w:val="1"/>
          <w:color w:val="auto"/>
          <w:position w:val="0"/>
          <w:sz w:val="28"/>
          <w:szCs w:val="28"/>
          <w:rFonts w:ascii="Calibri" w:eastAsia="宋体" w:hAnsi="宋体" w:hint="default"/>
        </w:rPr>
        <w:autoSpaceDE w:val="1"/>
        <w:autoSpaceDN w:val="1"/>
      </w:pPr>
      <w:r>
        <w:rPr>
          <w:b w:val="1"/>
          <w:color w:val="auto"/>
          <w:position w:val="0"/>
          <w:sz w:val="28"/>
          <w:szCs w:val="28"/>
          <w:rFonts w:ascii="Calibri" w:eastAsia="宋体" w:hAnsi="宋体" w:hint="default"/>
        </w:rPr>
        <w:t>留学生招生专业介绍</w:t>
      </w: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1、汽车运用技术Automobile applied technology</w:t>
      </w: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hd w:val="clear" w:color="000000" w:fill="FBFBFB"/>
        <w:spacing w:lineRule="auto" w:line="240" w:before="0" w:after="0"/>
        <w:ind w:right="0" w:firstLine="480"/>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汽车运用技术隶属于汽车工程系，该系建成了“学院专任教师+名企培训师+</w:t>
      </w:r>
      <w:r>
        <w:rPr>
          <w:color w:val="auto"/>
          <w:position w:val="0"/>
          <w:sz w:val="24"/>
          <w:szCs w:val="24"/>
          <w:rFonts w:ascii="宋体" w:eastAsia="宋体" w:hAnsi="宋体" w:hint="default"/>
        </w:rPr>
        <w:t>维修企业技师”的高水平双师结构教学团队。有教职员工95名，其中教授4人，</w:t>
      </w:r>
      <w:r>
        <w:rPr>
          <w:color w:val="auto"/>
          <w:position w:val="0"/>
          <w:sz w:val="24"/>
          <w:szCs w:val="24"/>
          <w:rFonts w:ascii="宋体" w:eastAsia="宋体" w:hAnsi="宋体" w:hint="default"/>
        </w:rPr>
        <w:t>副教授及高级工程师15人，双师素质教师44人，36人通过汽车制造厂商培训讲</w:t>
      </w:r>
      <w:r>
        <w:rPr>
          <w:color w:val="auto"/>
          <w:position w:val="0"/>
          <w:sz w:val="24"/>
          <w:szCs w:val="24"/>
          <w:rFonts w:ascii="宋体" w:eastAsia="宋体" w:hAnsi="宋体" w:hint="default"/>
        </w:rPr>
        <w:t>师培训和认证。拥有四川省高校交通安全重点实验室。与宝马、奥迪等9大全球</w:t>
      </w:r>
      <w:r>
        <w:rPr>
          <w:color w:val="auto"/>
          <w:position w:val="0"/>
          <w:sz w:val="24"/>
          <w:szCs w:val="24"/>
          <w:rFonts w:ascii="宋体" w:eastAsia="宋体" w:hAnsi="宋体" w:hint="default"/>
        </w:rPr>
        <w:t>国际知名汽车品牌厂商深度合作，在校内共建拥有培训基地，实现了实训车辆和</w:t>
      </w:r>
      <w:r>
        <w:rPr>
          <w:color w:val="auto"/>
          <w:position w:val="0"/>
          <w:sz w:val="24"/>
          <w:szCs w:val="24"/>
          <w:rFonts w:ascii="宋体" w:eastAsia="宋体" w:hAnsi="宋体" w:hint="default"/>
        </w:rPr>
        <w:t>设备与市场同步更新，学生在学习期间能掌握市场最新技术，实训设备和教学条</w:t>
      </w:r>
      <w:r>
        <w:rPr>
          <w:color w:val="auto"/>
          <w:position w:val="0"/>
          <w:sz w:val="24"/>
          <w:szCs w:val="24"/>
          <w:rFonts w:ascii="宋体" w:eastAsia="宋体" w:hAnsi="宋体" w:hint="default"/>
        </w:rPr>
        <w:t>件国际领先。汽车运用与维修技术专业是中央财政支持国家示范建设专业，教育</w:t>
      </w:r>
      <w:r>
        <w:rPr>
          <w:color w:val="auto"/>
          <w:position w:val="0"/>
          <w:sz w:val="24"/>
          <w:szCs w:val="24"/>
          <w:rFonts w:ascii="宋体" w:eastAsia="宋体" w:hAnsi="宋体" w:hint="default"/>
        </w:rPr>
        <w:t>部精品专业。</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培养方向：</w:t>
      </w:r>
    </w:p>
    <w:p>
      <w:pPr>
        <w:numPr>
          <w:ilvl w:val="0"/>
          <w:numId w:val="0"/>
        </w:numPr>
        <w:jc w:val="left"/>
        <w:shd w:val="clear" w:color="000000" w:fill="FFFFFF"/>
        <w:spacing w:lineRule="auto" w:line="240" w:before="0" w:after="150"/>
        <w:ind w:right="0" w:firstLine="566"/>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本专业面向汽车后市场，与丰田、奥迪、宝马、上汽大众、一汽大众、东风</w:t>
      </w:r>
      <w:r>
        <w:rPr>
          <w:color w:val="auto"/>
          <w:position w:val="0"/>
          <w:sz w:val="24"/>
          <w:szCs w:val="24"/>
          <w:rFonts w:ascii="宋体" w:eastAsia="宋体" w:hAnsi="宋体" w:hint="default"/>
        </w:rPr>
        <w:t>雪铁龙、东风标致、东风本田、东风日产等世界知名汽车制造厂商和区域内高端</w:t>
      </w:r>
      <w:r>
        <w:rPr>
          <w:color w:val="auto"/>
          <w:position w:val="0"/>
          <w:sz w:val="24"/>
          <w:szCs w:val="24"/>
          <w:rFonts w:ascii="宋体" w:eastAsia="宋体" w:hAnsi="宋体" w:hint="default"/>
        </w:rPr>
        <w:t>品牌集团化企业开展校企合作，培养具备汽车维修行业从业人员必备的专业基</w:t>
      </w:r>
      <w:r>
        <w:rPr>
          <w:color w:val="auto"/>
          <w:position w:val="0"/>
          <w:sz w:val="24"/>
          <w:szCs w:val="24"/>
          <w:rFonts w:ascii="宋体" w:eastAsia="宋体" w:hAnsi="宋体" w:hint="default"/>
        </w:rPr>
        <w:t>础理论知识，熟悉汽车机电维修、故障诊断与排除、维修接待等基本技能，能胜</w:t>
      </w:r>
      <w:r>
        <w:rPr>
          <w:color w:val="auto"/>
          <w:position w:val="0"/>
          <w:sz w:val="24"/>
          <w:szCs w:val="24"/>
          <w:rFonts w:ascii="宋体" w:eastAsia="宋体" w:hAnsi="宋体" w:hint="default"/>
        </w:rPr>
        <w:t>任汽车运用与维修、车辆维修接待、生产管理等岗位的高素质技能型人才。</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就业方向：</w:t>
      </w:r>
    </w:p>
    <w:p>
      <w:pPr>
        <w:numPr>
          <w:ilvl w:val="0"/>
          <w:numId w:val="0"/>
        </w:numPr>
        <w:jc w:val="left"/>
        <w:shd w:val="clear" w:color="000000" w:fill="FFFFFF"/>
        <w:spacing w:lineRule="auto" w:line="240" w:before="0" w:after="150"/>
        <w:ind w:right="0" w:firstLine="566"/>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学生毕业时具有中、高级汽车维修工资格，能够胜任汽车机电维修、汽车维</w:t>
      </w:r>
      <w:r>
        <w:rPr>
          <w:color w:val="auto"/>
          <w:position w:val="0"/>
          <w:sz w:val="24"/>
          <w:szCs w:val="24"/>
          <w:rFonts w:ascii="宋体" w:eastAsia="宋体" w:hAnsi="宋体" w:hint="default"/>
        </w:rPr>
        <w:t>修接待、汽车零配件管理、职业院校双师型教师、汽车维修企业生产经营管理等</w:t>
      </w:r>
      <w:r>
        <w:rPr>
          <w:color w:val="auto"/>
          <w:position w:val="0"/>
          <w:sz w:val="24"/>
          <w:szCs w:val="24"/>
          <w:rFonts w:ascii="宋体" w:eastAsia="宋体" w:hAnsi="宋体" w:hint="default"/>
        </w:rPr>
        <w:t>岗位工作。职业发展定位为汽车维修高级技师和维修企业中高层管理人员。</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2、工程造价Project cost</w:t>
      </w:r>
    </w:p>
    <w:p>
      <w:pPr>
        <w:numPr>
          <w:ilvl w:val="0"/>
          <w:numId w:val="0"/>
        </w:numPr>
        <w:jc w:val="both"/>
        <w:spacing w:lineRule="auto" w:line="360" w:before="0" w:after="0"/>
        <w:ind w:right="0" w:firstLine="566"/>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422"/>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工程造价专业隶属于建筑工程系，该系现有教职工53人，专业教师38人，其</w:t>
      </w:r>
      <w:r>
        <w:rPr>
          <w:color w:val="auto"/>
          <w:position w:val="0"/>
          <w:sz w:val="24"/>
          <w:szCs w:val="24"/>
          <w:rFonts w:ascii="宋体" w:eastAsia="宋体" w:hAnsi="宋体" w:hint="default"/>
        </w:rPr>
        <w:t>中教授、副教授、高级工程师10名，讲师、工程师20人，具有硕士学位16名，</w:t>
      </w:r>
      <w:r>
        <w:rPr>
          <w:color w:val="auto"/>
          <w:position w:val="0"/>
          <w:sz w:val="24"/>
          <w:szCs w:val="24"/>
          <w:rFonts w:ascii="宋体" w:eastAsia="宋体" w:hAnsi="宋体" w:hint="default"/>
        </w:rPr>
        <w:t>形成老、中、青结合的学术梯队。教师具有较高的教学水平和科研水平，部分教</w:t>
      </w:r>
      <w:r>
        <w:rPr>
          <w:color w:val="auto"/>
          <w:position w:val="0"/>
          <w:sz w:val="24"/>
          <w:szCs w:val="24"/>
          <w:rFonts w:ascii="宋体" w:eastAsia="宋体" w:hAnsi="宋体" w:hint="default"/>
        </w:rPr>
        <w:t>师还取得了国家注册执业资格，为双师型教师。同时加强与企业的合作，从企业</w:t>
      </w:r>
      <w:r>
        <w:rPr>
          <w:color w:val="auto"/>
          <w:position w:val="0"/>
          <w:sz w:val="24"/>
          <w:szCs w:val="24"/>
          <w:rFonts w:ascii="宋体" w:eastAsia="宋体" w:hAnsi="宋体" w:hint="default"/>
        </w:rPr>
        <w:t>聘请了60余人，建立兼职教师资源库。</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培养方向： </w:t>
      </w:r>
    </w:p>
    <w:p>
      <w:pPr>
        <w:numPr>
          <w:ilvl w:val="0"/>
          <w:numId w:val="0"/>
        </w:numPr>
        <w:jc w:val="both"/>
        <w:spacing w:lineRule="exact" w:line="360" w:before="0" w:after="0"/>
        <w:ind w:right="0" w:firstLine="422"/>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本专业培养土建类工程项目建设过程中，进行工程造价管理、合同管理、信</w:t>
      </w:r>
      <w:r>
        <w:rPr>
          <w:color w:val="auto"/>
          <w:position w:val="0"/>
          <w:sz w:val="24"/>
          <w:szCs w:val="24"/>
          <w:rFonts w:ascii="宋体" w:eastAsia="宋体" w:hAnsi="宋体" w:hint="default"/>
        </w:rPr>
        <w:t>息管理，并具备熟练编制和审核招标、投标文件和投标书综合评定的能力，工程</w:t>
      </w:r>
      <w:r>
        <w:rPr>
          <w:color w:val="auto"/>
          <w:position w:val="0"/>
          <w:sz w:val="24"/>
          <w:szCs w:val="24"/>
          <w:rFonts w:ascii="宋体" w:eastAsia="宋体" w:hAnsi="宋体" w:hint="default"/>
        </w:rPr>
        <w:t xml:space="preserve">造价相关技术文件的高素质技能型人才。学生可取得预算员、造价员岗位证书。 </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就业方向： </w:t>
      </w:r>
    </w:p>
    <w:p>
      <w:pPr>
        <w:numPr>
          <w:ilvl w:val="0"/>
          <w:numId w:val="0"/>
        </w:numPr>
        <w:jc w:val="both"/>
        <w:spacing w:lineRule="exact" w:line="360" w:before="0" w:after="0"/>
        <w:ind w:right="0" w:firstLine="564"/>
        <w:rPr>
          <w:color w:val="auto"/>
          <w:position w:val="0"/>
          <w:sz w:val="24"/>
          <w:szCs w:val="24"/>
          <w:rFonts w:ascii="Calibri" w:eastAsia="宋体" w:hAnsi="宋体" w:hint="default"/>
        </w:rPr>
        <w:autoSpaceDE w:val="1"/>
        <w:autoSpaceDN w:val="1"/>
      </w:pPr>
      <w:r>
        <w:rPr>
          <w:color w:val="auto"/>
          <w:position w:val="0"/>
          <w:sz w:val="24"/>
          <w:szCs w:val="24"/>
          <w:rFonts w:ascii="宋体" w:eastAsia="宋体" w:hAnsi="宋体" w:hint="default"/>
        </w:rPr>
        <w:t>毕业生主要面向工程造价咨询公司、建筑施工单位、房地产开发公司、工程</w:t>
      </w:r>
      <w:r>
        <w:rPr>
          <w:color w:val="auto"/>
          <w:position w:val="0"/>
          <w:sz w:val="24"/>
          <w:szCs w:val="24"/>
          <w:rFonts w:ascii="宋体" w:eastAsia="宋体" w:hAnsi="宋体" w:hint="default"/>
        </w:rPr>
        <w:t>建设监理单位、会计师事务所、各类企事业单位及政府部门的相关工作岗位。</w:t>
      </w: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 xml:space="preserve"> </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3、电子信息工程技术Electronic and information engineering </w:t>
      </w:r>
      <w:r>
        <w:rPr>
          <w:b w:val="1"/>
          <w:color w:val="auto"/>
          <w:position w:val="0"/>
          <w:sz w:val="24"/>
          <w:szCs w:val="24"/>
          <w:rFonts w:ascii="宋体" w:eastAsia="宋体" w:hAnsi="宋体" w:hint="default"/>
        </w:rPr>
        <w:t>technology</w:t>
      </w: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p>
    <w:p>
      <w:pPr>
        <w:numPr>
          <w:ilvl w:val="0"/>
          <w:numId w:val="0"/>
        </w:numPr>
        <w:jc w:val="both"/>
        <w:spacing w:lineRule="auto" w:line="240" w:before="0" w:after="0"/>
        <w:ind w:right="0" w:firstLine="480"/>
        <w:rPr>
          <w:color w:val="auto"/>
          <w:position w:val="0"/>
          <w:sz w:val="24"/>
          <w:szCs w:val="24"/>
          <w:rFonts w:ascii="Calibri" w:eastAsia="宋体" w:hAnsi="宋体" w:hint="default"/>
        </w:rPr>
        <w:autoSpaceDE w:val="1"/>
        <w:autoSpaceDN w:val="1"/>
      </w:pPr>
      <w:r>
        <w:rPr>
          <w:color w:val="auto"/>
          <w:position w:val="0"/>
          <w:sz w:val="24"/>
          <w:szCs w:val="24"/>
          <w:rFonts w:ascii="Calibri" w:eastAsia="宋体" w:hAnsi="宋体" w:hint="default"/>
        </w:rPr>
        <w:t>电子信息技术专业隶属于信息工程系，现有教职工52人、外籍教师6人；专</w:t>
      </w:r>
      <w:r>
        <w:rPr>
          <w:color w:val="auto"/>
          <w:position w:val="0"/>
          <w:sz w:val="24"/>
          <w:szCs w:val="24"/>
          <w:rFonts w:ascii="Calibri" w:eastAsia="宋体" w:hAnsi="宋体" w:hint="default"/>
        </w:rPr>
        <w:t>任教师32人、兼职教师16人；其中高级职称26人，中级职称14人；博士研究生</w:t>
      </w:r>
      <w:r>
        <w:rPr>
          <w:color w:val="auto"/>
          <w:position w:val="0"/>
          <w:sz w:val="24"/>
          <w:szCs w:val="24"/>
          <w:rFonts w:ascii="Calibri" w:eastAsia="宋体" w:hAnsi="宋体" w:hint="default"/>
        </w:rPr>
        <w:t>4人，硕士研究生38人；国家教学名师1人，省级教学团队1个。</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培养方向：</w:t>
      </w:r>
    </w:p>
    <w:p>
      <w:pPr>
        <w:numPr>
          <w:ilvl w:val="0"/>
          <w:numId w:val="0"/>
        </w:numPr>
        <w:jc w:val="both"/>
        <w:spacing w:lineRule="exact" w:line="360" w:before="0" w:after="0"/>
        <w:ind w:right="0" w:firstLine="422"/>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本专业与英特尔、斯比泰电子、深圳瑞普斯等知名企业合作，培养掌握电子</w:t>
      </w:r>
      <w:r>
        <w:rPr>
          <w:color w:val="auto"/>
          <w:position w:val="0"/>
          <w:sz w:val="24"/>
          <w:szCs w:val="24"/>
          <w:rFonts w:ascii="宋体" w:eastAsia="宋体" w:hAnsi="宋体" w:hint="default"/>
        </w:rPr>
        <w:t>电器基本知识与操作技能，具有较强的嵌入式系统应用及信息处理能力，了解企</w:t>
      </w:r>
      <w:r>
        <w:rPr>
          <w:color w:val="auto"/>
          <w:position w:val="0"/>
          <w:sz w:val="24"/>
          <w:szCs w:val="24"/>
          <w:rFonts w:ascii="宋体" w:eastAsia="宋体" w:hAnsi="宋体" w:hint="default"/>
        </w:rPr>
        <w:t>业管理、产品营销常识，适合在电子信息及相关企业研发、生产及服务第一线从</w:t>
      </w:r>
      <w:r>
        <w:rPr>
          <w:color w:val="auto"/>
          <w:position w:val="0"/>
          <w:sz w:val="24"/>
          <w:szCs w:val="24"/>
          <w:rFonts w:ascii="宋体" w:eastAsia="宋体" w:hAnsi="宋体" w:hint="default"/>
        </w:rPr>
        <w:t>事研发、研发助理、生产管理、设备维护、质量管理、技术支持、市场营销等工</w:t>
      </w:r>
      <w:r>
        <w:rPr>
          <w:color w:val="auto"/>
          <w:position w:val="0"/>
          <w:sz w:val="24"/>
          <w:szCs w:val="24"/>
          <w:rFonts w:ascii="宋体" w:eastAsia="宋体" w:hAnsi="宋体" w:hint="default"/>
        </w:rPr>
        <w:t>作的复合式创新性高素质技能型人才。</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就业方向：</w:t>
      </w:r>
    </w:p>
    <w:p>
      <w:pPr>
        <w:numPr>
          <w:ilvl w:val="0"/>
          <w:numId w:val="0"/>
        </w:numPr>
        <w:jc w:val="both"/>
        <w:spacing w:lineRule="exact" w:line="360" w:before="0" w:after="0"/>
        <w:ind w:right="0" w:firstLine="422"/>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主要面向电子产品设计与制造企业，从事电子开发产品测试、产品推广、项</w:t>
      </w:r>
      <w:r>
        <w:rPr>
          <w:color w:val="auto"/>
          <w:position w:val="0"/>
          <w:sz w:val="24"/>
          <w:szCs w:val="24"/>
          <w:rFonts w:ascii="宋体" w:eastAsia="宋体" w:hAnsi="宋体" w:hint="default"/>
        </w:rPr>
        <w:t>目管理、生产管理、质量管理、工艺管理与培训、技术支持、售后服务等工作</w:t>
      </w:r>
    </w:p>
    <w:p>
      <w:pPr>
        <w:numPr>
          <w:ilvl w:val="0"/>
          <w:numId w:val="0"/>
        </w:numPr>
        <w:jc w:val="both"/>
        <w:spacing w:lineRule="exact" w:line="360" w:before="0" w:after="0"/>
        <w:ind w:right="0" w:firstLine="422"/>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4、物流管理Logistics management</w:t>
      </w:r>
    </w:p>
    <w:p>
      <w:pPr>
        <w:numPr>
          <w:ilvl w:val="0"/>
          <w:numId w:val="0"/>
        </w:numPr>
        <w:jc w:val="both"/>
        <w:spacing w:lineRule="exact" w:line="360" w:before="0" w:after="0"/>
        <w:ind w:right="0" w:firstLine="480"/>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422"/>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物流管理专业隶属于运输工程系，该系现有教职员工30余人，校内外兼职教</w:t>
      </w:r>
      <w:r>
        <w:rPr>
          <w:color w:val="auto"/>
          <w:position w:val="0"/>
          <w:sz w:val="24"/>
          <w:szCs w:val="24"/>
          <w:rFonts w:ascii="宋体" w:eastAsia="宋体" w:hAnsi="宋体" w:hint="default"/>
        </w:rPr>
        <w:t>师20人，其中教授5名、副教授9名、博士5名、硕士19名，双师比例100%。物</w:t>
      </w:r>
      <w:r>
        <w:rPr>
          <w:color w:val="auto"/>
          <w:position w:val="0"/>
          <w:sz w:val="24"/>
          <w:szCs w:val="24"/>
          <w:rFonts w:ascii="宋体" w:eastAsia="宋体" w:hAnsi="宋体" w:hint="default"/>
        </w:rPr>
        <w:t>流管理专业是省级精品专业、国家示范性高职院校建设地方财政支持重点建设的</w:t>
      </w:r>
      <w:r>
        <w:rPr>
          <w:color w:val="auto"/>
          <w:position w:val="0"/>
          <w:sz w:val="24"/>
          <w:szCs w:val="24"/>
          <w:rFonts w:ascii="宋体" w:eastAsia="宋体" w:hAnsi="宋体" w:hint="default"/>
        </w:rPr>
        <w:t>专业。</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培养方向： </w:t>
      </w:r>
    </w:p>
    <w:p>
      <w:pPr>
        <w:numPr>
          <w:ilvl w:val="0"/>
          <w:numId w:val="0"/>
        </w:numPr>
        <w:jc w:val="both"/>
        <w:spacing w:lineRule="exact" w:line="360" w:before="0" w:after="0"/>
        <w:ind w:right="0" w:firstLine="564"/>
        <w:rPr>
          <w:b w:val="1"/>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本专业紧密结合物流行业发展及企业实际，培养熟悉物流相关法律法规，掌</w:t>
      </w:r>
      <w:r>
        <w:rPr>
          <w:color w:val="auto"/>
          <w:position w:val="0"/>
          <w:sz w:val="24"/>
          <w:szCs w:val="24"/>
          <w:rFonts w:ascii="宋体" w:eastAsia="宋体" w:hAnsi="宋体" w:hint="default"/>
        </w:rPr>
        <w:t>握物流管理的基本理论、基本知识、基本方法、基本技术与技能，能胜任物流企</w:t>
      </w:r>
      <w:r>
        <w:rPr>
          <w:color w:val="auto"/>
          <w:position w:val="0"/>
          <w:sz w:val="24"/>
          <w:szCs w:val="24"/>
          <w:rFonts w:ascii="宋体" w:eastAsia="宋体" w:hAnsi="宋体" w:hint="default"/>
        </w:rPr>
        <w:t xml:space="preserve">业和工商企业物流业务运作、物流运营管理等工作的高素质技能型人才。 </w:t>
      </w:r>
    </w:p>
    <w:p>
      <w:pPr>
        <w:numPr>
          <w:ilvl w:val="0"/>
          <w:numId w:val="0"/>
        </w:numPr>
        <w:jc w:val="both"/>
        <w:spacing w:lineRule="exact" w:line="360" w:before="0" w:after="0"/>
        <w:ind w:right="0" w:firstLine="566"/>
        <w:rPr>
          <w:b w:val="1"/>
          <w:color w:val="auto"/>
          <w:position w:val="0"/>
          <w:sz w:val="24"/>
          <w:szCs w:val="24"/>
          <w:rFonts w:ascii="宋体" w:eastAsia="宋体" w:hAnsi="宋体" w:hint="default"/>
        </w:rPr>
        <w:autoSpaceDE w:val="1"/>
        <w:autoSpaceDN w:val="1"/>
      </w:pPr>
      <w:r>
        <w:rPr>
          <w:b w:val="1"/>
          <w:color w:val="auto"/>
          <w:position w:val="0"/>
          <w:sz w:val="24"/>
          <w:szCs w:val="24"/>
          <w:rFonts w:ascii="宋体" w:eastAsia="宋体" w:hAnsi="宋体" w:hint="default"/>
        </w:rPr>
        <w:t xml:space="preserve">就业方向： </w:t>
      </w: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r>
        <w:rPr>
          <w:color w:val="auto"/>
          <w:position w:val="0"/>
          <w:sz w:val="24"/>
          <w:szCs w:val="24"/>
          <w:rFonts w:ascii="宋体" w:eastAsia="宋体" w:hAnsi="宋体" w:hint="default"/>
        </w:rPr>
        <w:t>毕业后在物流企业或生产企业物流部门从事物流业务开发、商品采购、货物</w:t>
      </w:r>
      <w:r>
        <w:rPr>
          <w:color w:val="auto"/>
          <w:position w:val="0"/>
          <w:sz w:val="24"/>
          <w:szCs w:val="24"/>
          <w:rFonts w:ascii="宋体" w:eastAsia="宋体" w:hAnsi="宋体" w:hint="default"/>
        </w:rPr>
        <w:t>储存管理、货物运输组织、货物配送、客户服务等工作。</w:t>
      </w: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both"/>
        <w:spacing w:lineRule="exact" w:line="360" w:before="0" w:after="0"/>
        <w:ind w:right="0" w:firstLine="564"/>
        <w:rPr>
          <w:color w:val="auto"/>
          <w:position w:val="0"/>
          <w:sz w:val="24"/>
          <w:szCs w:val="24"/>
          <w:rFonts w:ascii="宋体" w:eastAsia="宋体" w:hAnsi="宋体" w:hint="default"/>
        </w:rPr>
        <w:autoSpaceDE w:val="1"/>
        <w:autoSpaceDN w:val="1"/>
      </w:pPr>
    </w:p>
    <w:p>
      <w:pPr>
        <w:numPr>
          <w:ilvl w:val="0"/>
          <w:numId w:val="0"/>
        </w:numPr>
        <w:jc w:val="center"/>
        <w:spacing w:lineRule="auto" w:line="240" w:before="0" w:after="0"/>
        <w:ind w:right="0" w:firstLine="0"/>
        <w:rPr>
          <w:b w:val="1"/>
          <w:color w:val="auto"/>
          <w:position w:val="0"/>
          <w:sz w:val="28"/>
          <w:szCs w:val="28"/>
          <w:rFonts w:ascii="Times New Roman" w:eastAsia="Times New Roman" w:hAnsi="Times New Roman" w:hint="default"/>
        </w:rPr>
        <w:autoSpaceDE w:val="1"/>
        <w:autoSpaceDN w:val="1"/>
      </w:pPr>
      <w:r>
        <w:rPr>
          <w:b w:val="1"/>
          <w:color w:val="auto"/>
          <w:position w:val="0"/>
          <w:sz w:val="28"/>
          <w:szCs w:val="28"/>
          <w:rFonts w:ascii="Times New Roman" w:eastAsia="Times New Roman" w:hAnsi="Times New Roman" w:hint="default"/>
        </w:rPr>
        <w:t xml:space="preserve">Application Guide</w:t>
      </w:r>
    </w:p>
    <w:p>
      <w:pPr>
        <w:numPr>
          <w:ilvl w:val="0"/>
          <w:numId w:val="0"/>
        </w:numPr>
        <w:jc w:val="center"/>
        <w:spacing w:lineRule="auto" w:line="240" w:before="0" w:after="0"/>
        <w:ind w:right="0" w:firstLine="0"/>
        <w:rPr>
          <w:b w:val="1"/>
          <w:color w:val="auto"/>
          <w:position w:val="0"/>
          <w:sz w:val="28"/>
          <w:szCs w:val="28"/>
          <w:rFonts w:ascii="Times New Roman" w:eastAsia="Times New Roman" w:hAnsi="Times New Roman" w:hint="default"/>
        </w:rPr>
        <w:autoSpaceDE w:val="1"/>
        <w:autoSpaceDN w:val="1"/>
      </w:pPr>
      <w:r>
        <w:rPr>
          <w:b w:val="1"/>
          <w:color w:val="auto"/>
          <w:position w:val="0"/>
          <w:sz w:val="28"/>
          <w:szCs w:val="28"/>
          <w:rFonts w:ascii="Times New Roman" w:eastAsia="Times New Roman" w:hAnsi="Times New Roman" w:hint="default"/>
        </w:rPr>
        <w:t xml:space="preserve"> for International Students Wishing to Study</w:t>
      </w:r>
    </w:p>
    <w:p>
      <w:pPr>
        <w:numPr>
          <w:ilvl w:val="0"/>
          <w:numId w:val="0"/>
        </w:numPr>
        <w:jc w:val="center"/>
        <w:spacing w:lineRule="auto" w:line="240" w:before="0" w:after="0"/>
        <w:ind w:right="0" w:firstLine="0"/>
        <w:rPr>
          <w:b w:val="1"/>
          <w:color w:val="auto"/>
          <w:position w:val="0"/>
          <w:sz w:val="28"/>
          <w:szCs w:val="28"/>
          <w:rFonts w:ascii="Times New Roman" w:eastAsia="Times New Roman" w:hAnsi="Times New Roman" w:hint="default"/>
        </w:rPr>
        <w:autoSpaceDE w:val="1"/>
        <w:autoSpaceDN w:val="1"/>
      </w:pPr>
      <w:r>
        <w:rPr>
          <w:b w:val="1"/>
          <w:color w:val="auto"/>
          <w:position w:val="0"/>
          <w:sz w:val="28"/>
          <w:szCs w:val="28"/>
          <w:rFonts w:ascii="Times New Roman" w:eastAsia="Times New Roman" w:hAnsi="Times New Roman" w:hint="default"/>
        </w:rPr>
        <w:t xml:space="preserve"> at Sichuan Vocational and Technical College of Communications</w:t>
      </w:r>
    </w:p>
    <w:p>
      <w:pPr>
        <w:numPr>
          <w:ilvl w:val="0"/>
          <w:numId w:val="0"/>
        </w:numPr>
        <w:jc w:val="both"/>
        <w:spacing w:lineRule="auto" w:line="360" w:before="0" w:after="0"/>
        <w:ind w:right="0" w:firstLine="0"/>
        <w:rPr>
          <w:color w:val="auto"/>
          <w:position w:val="0"/>
          <w:sz w:val="21"/>
          <w:szCs w:val="21"/>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fldChar w:fldCharType="begin"/>
      </w:r>
      <w:r>
        <w:rPr>
          <w:b w:val="1"/>
          <w:color w:val="auto"/>
          <w:position w:val="0"/>
          <w:sz w:val="24"/>
          <w:szCs w:val="24"/>
          <w:rFonts w:ascii="Times New Roman" w:eastAsia="Times New Roman" w:hAnsi="Times New Roman" w:hint="default"/>
          <w:rFonts w:hint="eastAsia"/>
        </w:rPr>
        <w:instrText>= 1 \* ROMAN</w:instrText>
      </w:r>
      <w:r>
        <w:fldChar w:fldCharType="separate"/>
      </w:r>
      <w:r>
        <w:rPr>
          <w:b w:val="1"/>
          <w:color w:val="auto"/>
          <w:position w:val="0"/>
          <w:sz w:val="24"/>
          <w:szCs w:val="24"/>
          <w:rFonts w:ascii="Times New Roman" w:eastAsia="Times New Roman" w:hAnsi="Times New Roman" w:hint="default"/>
        </w:rPr>
        <w:t>I</w:t>
      </w:r>
      <w:r>
        <w:rPr>
          <w:b w:val="1"/>
          <w:color w:val="auto"/>
          <w:position w:val="0"/>
          <w:sz w:val="24"/>
          <w:szCs w:val="24"/>
          <w:rFonts w:ascii="Times New Roman" w:eastAsia="Times New Roman" w:hAnsi="Times New Roman" w:hint="default"/>
        </w:rPr>
        <w:fldChar w:fldCharType="end"/>
      </w:r>
      <w:r>
        <w:rPr>
          <w:b w:val="1"/>
          <w:color w:val="auto"/>
          <w:position w:val="0"/>
          <w:sz w:val="24"/>
          <w:szCs w:val="24"/>
          <w:rFonts w:ascii="Times New Roman" w:eastAsia="宋体" w:hAnsi="宋体" w:hint="default"/>
        </w:rPr>
        <w:t>．</w:t>
      </w:r>
      <w:r>
        <w:rPr>
          <w:b w:val="1"/>
          <w:color w:val="auto"/>
          <w:position w:val="0"/>
          <w:sz w:val="24"/>
          <w:szCs w:val="24"/>
          <w:rFonts w:ascii="Times New Roman" w:eastAsia="Times New Roman" w:hAnsi="Times New Roman" w:hint="default"/>
        </w:rPr>
        <w:t xml:space="preserve"> SVTCC Profile</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Sichuan Vocational and Technical College of Communications (hereinafter </w:t>
      </w:r>
      <w:r>
        <w:rPr>
          <w:color w:val="auto"/>
          <w:position w:val="0"/>
          <w:sz w:val="24"/>
          <w:szCs w:val="24"/>
          <w:rFonts w:ascii="Times New Roman" w:eastAsia="Times New Roman" w:hAnsi="Times New Roman" w:hint="default"/>
        </w:rPr>
        <w:t xml:space="preserve">referred to as SVTCC), is a public college which was established in 1952 and is </w:t>
      </w:r>
      <w:r>
        <w:rPr>
          <w:color w:val="auto"/>
          <w:position w:val="0"/>
          <w:sz w:val="24"/>
          <w:szCs w:val="24"/>
          <w:rFonts w:ascii="Times New Roman" w:eastAsia="Times New Roman" w:hAnsi="Times New Roman" w:hint="default"/>
        </w:rPr>
        <w:t xml:space="preserve">affiliated to the Sichuan Provincial Department of Transportation. It is accredited as a </w:t>
      </w:r>
      <w:r>
        <w:rPr>
          <w:color w:val="auto"/>
          <w:position w:val="0"/>
          <w:sz w:val="24"/>
          <w:szCs w:val="24"/>
          <w:rFonts w:ascii="Times New Roman" w:eastAsia="Times New Roman" w:hAnsi="Times New Roman" w:hint="default"/>
        </w:rPr>
        <w:t xml:space="preserve">model for higher vocational education by the Ministry of Education of China, namely, </w:t>
      </w:r>
      <w:r>
        <w:rPr>
          <w:color w:val="auto"/>
          <w:position w:val="0"/>
          <w:sz w:val="24"/>
          <w:szCs w:val="24"/>
          <w:rFonts w:ascii="Times New Roman" w:eastAsia="Times New Roman" w:hAnsi="Times New Roman" w:hint="default"/>
        </w:rPr>
        <w:t xml:space="preserve">one of the 100 top vocational colleges across China. It is a pilot college for high-end </w:t>
      </w:r>
      <w:r>
        <w:rPr>
          <w:color w:val="auto"/>
          <w:position w:val="0"/>
          <w:sz w:val="24"/>
          <w:szCs w:val="24"/>
          <w:rFonts w:ascii="Times New Roman" w:eastAsia="Times New Roman" w:hAnsi="Times New Roman" w:hint="default"/>
        </w:rPr>
        <w:t xml:space="preserve">technological and skilled undergraduate programs in Sichuan Province, a national </w:t>
      </w:r>
      <w:r>
        <w:rPr>
          <w:color w:val="auto"/>
          <w:position w:val="0"/>
          <w:sz w:val="24"/>
          <w:szCs w:val="24"/>
          <w:rFonts w:ascii="Times New Roman" w:eastAsia="Times New Roman" w:hAnsi="Times New Roman" w:hint="default"/>
        </w:rPr>
        <w:t xml:space="preserve">model college for employment competitiveness, a national advanced unit of </w:t>
      </w:r>
      <w:r>
        <w:rPr>
          <w:color w:val="auto"/>
          <w:position w:val="0"/>
          <w:sz w:val="24"/>
          <w:szCs w:val="24"/>
          <w:rFonts w:ascii="Times New Roman" w:eastAsia="Times New Roman" w:hAnsi="Times New Roman" w:hint="default"/>
        </w:rPr>
        <w:t xml:space="preserve">vocational education and a national civilization unit.</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SVTCC is located in Wenjiang District, Chengdu City, covering an area of 1033 </w:t>
      </w:r>
      <w:r>
        <w:rPr>
          <w:color w:val="auto"/>
          <w:position w:val="0"/>
          <w:sz w:val="24"/>
          <w:szCs w:val="24"/>
          <w:rFonts w:ascii="Times New Roman" w:eastAsia="Times New Roman" w:hAnsi="Times New Roman" w:hint="default"/>
        </w:rPr>
        <w:t xml:space="preserve">mu, with more than 13000 students enrolled. The academic part of SVTCC is </w:t>
      </w:r>
      <w:r>
        <w:rPr>
          <w:color w:val="auto"/>
          <w:position w:val="0"/>
          <w:sz w:val="24"/>
          <w:szCs w:val="24"/>
          <w:rFonts w:ascii="Times New Roman" w:eastAsia="Times New Roman" w:hAnsi="Times New Roman" w:hint="default"/>
        </w:rPr>
        <w:t xml:space="preserve">organized into 10 departments, namely, Department of Road and Bridge Engineering, </w:t>
      </w:r>
      <w:r>
        <w:rPr>
          <w:color w:val="auto"/>
          <w:position w:val="0"/>
          <w:sz w:val="24"/>
          <w:szCs w:val="24"/>
          <w:rFonts w:ascii="Times New Roman" w:eastAsia="Times New Roman" w:hAnsi="Times New Roman" w:hint="default"/>
        </w:rPr>
        <w:t xml:space="preserve">Department of Automotive Engineering, Department of Economic Management, </w:t>
      </w:r>
      <w:r>
        <w:rPr>
          <w:color w:val="auto"/>
          <w:position w:val="0"/>
          <w:sz w:val="24"/>
          <w:szCs w:val="24"/>
          <w:rFonts w:ascii="Times New Roman" w:eastAsia="Times New Roman" w:hAnsi="Times New Roman" w:hint="default"/>
        </w:rPr>
        <w:t xml:space="preserve">Department of Information Engineering, Department of Electro-mechanical </w:t>
      </w:r>
      <w:r>
        <w:rPr>
          <w:color w:val="auto"/>
          <w:position w:val="0"/>
          <w:sz w:val="24"/>
          <w:szCs w:val="24"/>
          <w:rFonts w:ascii="Times New Roman" w:eastAsia="Times New Roman" w:hAnsi="Times New Roman" w:hint="default"/>
        </w:rPr>
        <w:t xml:space="preserve">Engineering, Department of Architectural Engineering, Department of Humanities </w:t>
      </w:r>
      <w:r>
        <w:rPr>
          <w:color w:val="auto"/>
          <w:position w:val="0"/>
          <w:sz w:val="24"/>
          <w:szCs w:val="24"/>
          <w:rFonts w:ascii="Times New Roman" w:eastAsia="Times New Roman" w:hAnsi="Times New Roman" w:hint="default"/>
        </w:rPr>
        <w:t xml:space="preserve">and Art, Department of Transportation Engineering, Department of Marine </w:t>
      </w:r>
      <w:r>
        <w:rPr>
          <w:color w:val="auto"/>
          <w:position w:val="0"/>
          <w:sz w:val="24"/>
          <w:szCs w:val="24"/>
          <w:rFonts w:ascii="Times New Roman" w:eastAsia="Times New Roman" w:hAnsi="Times New Roman" w:hint="default"/>
        </w:rPr>
        <w:t xml:space="preserve">Engineering and Department of Rail Transport Engineering, offering 2 undergraduate </w:t>
      </w:r>
      <w:r>
        <w:rPr>
          <w:color w:val="auto"/>
          <w:position w:val="0"/>
          <w:sz w:val="24"/>
          <w:szCs w:val="24"/>
          <w:rFonts w:ascii="Times New Roman" w:eastAsia="Times New Roman" w:hAnsi="Times New Roman" w:hint="default"/>
        </w:rPr>
        <w:t xml:space="preserve">programs and 45 diploma programs, including 4 national demonstration programs, 4 </w:t>
      </w:r>
      <w:r>
        <w:rPr>
          <w:color w:val="auto"/>
          <w:position w:val="0"/>
          <w:sz w:val="24"/>
          <w:szCs w:val="24"/>
          <w:rFonts w:ascii="Times New Roman" w:eastAsia="Times New Roman" w:hAnsi="Times New Roman" w:hint="default"/>
        </w:rPr>
        <w:t xml:space="preserve">provincial demonstration programs and 4 provincial key programs. There are about </w:t>
      </w:r>
      <w:r>
        <w:rPr>
          <w:color w:val="auto"/>
          <w:position w:val="0"/>
          <w:sz w:val="24"/>
          <w:szCs w:val="24"/>
          <w:rFonts w:ascii="Times New Roman" w:eastAsia="Times New Roman" w:hAnsi="Times New Roman" w:hint="default"/>
        </w:rPr>
        <w:t xml:space="preserve">1000 faculty staff, including 27 professors, professorate senior engineers and research </w:t>
      </w:r>
      <w:r>
        <w:rPr>
          <w:color w:val="auto"/>
          <w:position w:val="0"/>
          <w:sz w:val="24"/>
          <w:szCs w:val="24"/>
          <w:rFonts w:ascii="Times New Roman" w:eastAsia="Times New Roman" w:hAnsi="Times New Roman" w:hint="default"/>
        </w:rPr>
        <w:t xml:space="preserve">fellows, about 150 associate professors, senior engineers, associate researchers and </w:t>
      </w:r>
      <w:r>
        <w:rPr>
          <w:color w:val="auto"/>
          <w:position w:val="0"/>
          <w:sz w:val="24"/>
          <w:szCs w:val="24"/>
          <w:rFonts w:ascii="Times New Roman" w:eastAsia="Times New Roman" w:hAnsi="Times New Roman" w:hint="default"/>
        </w:rPr>
        <w:t xml:space="preserve">teachers with Ph. D , 4 provincial-level teaching teams, 1 State Council Expert for </w:t>
      </w:r>
      <w:r>
        <w:rPr>
          <w:color w:val="auto"/>
          <w:position w:val="0"/>
          <w:sz w:val="24"/>
          <w:szCs w:val="24"/>
          <w:rFonts w:ascii="Times New Roman" w:eastAsia="Times New Roman" w:hAnsi="Times New Roman" w:hint="default"/>
        </w:rPr>
        <w:t xml:space="preserve">Special Allowance, 1 teaching master of "Ten thousand plan" of CPC Central </w:t>
      </w:r>
      <w:r>
        <w:rPr>
          <w:color w:val="auto"/>
          <w:position w:val="0"/>
          <w:sz w:val="24"/>
          <w:szCs w:val="24"/>
          <w:rFonts w:ascii="Times New Roman" w:eastAsia="Times New Roman" w:hAnsi="Times New Roman" w:hint="default"/>
        </w:rPr>
        <w:t xml:space="preserve">Organization Department, 1 teaching master of the Special Support Plan for National </w:t>
      </w:r>
      <w:r>
        <w:rPr>
          <w:color w:val="auto"/>
          <w:position w:val="0"/>
          <w:sz w:val="24"/>
          <w:szCs w:val="24"/>
          <w:rFonts w:ascii="Times New Roman" w:eastAsia="Times New Roman" w:hAnsi="Times New Roman" w:hint="default"/>
        </w:rPr>
        <w:t xml:space="preserve">High Level Talents, 1 national model teacher, 1 leading expert in academics and </w:t>
      </w:r>
      <w:r>
        <w:rPr>
          <w:color w:val="auto"/>
          <w:position w:val="0"/>
          <w:sz w:val="24"/>
          <w:szCs w:val="24"/>
          <w:rFonts w:ascii="Times New Roman" w:eastAsia="Times New Roman" w:hAnsi="Times New Roman" w:hint="default"/>
        </w:rPr>
        <w:t xml:space="preserve">technology in Sichuan Province, 4 teaching masters of Sichuan Province, 5 leading </w:t>
      </w:r>
      <w:r>
        <w:rPr>
          <w:color w:val="auto"/>
          <w:position w:val="0"/>
          <w:sz w:val="24"/>
          <w:szCs w:val="24"/>
          <w:rFonts w:ascii="Times New Roman" w:eastAsia="Times New Roman" w:hAnsi="Times New Roman" w:hint="default"/>
        </w:rPr>
        <w:t xml:space="preserve">program experts of the Transportation Vocational Education Society of the Ministry of </w:t>
      </w:r>
      <w:r>
        <w:rPr>
          <w:color w:val="auto"/>
          <w:position w:val="0"/>
          <w:sz w:val="24"/>
          <w:szCs w:val="24"/>
          <w:rFonts w:ascii="Times New Roman" w:eastAsia="Times New Roman" w:hAnsi="Times New Roman" w:hint="default"/>
        </w:rPr>
        <w:t xml:space="preserve">Transportation of China.</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The library houses a collection of 1,200,000 volumes of books. The total value of </w:t>
      </w:r>
      <w:r>
        <w:rPr>
          <w:color w:val="auto"/>
          <w:position w:val="0"/>
          <w:sz w:val="24"/>
          <w:szCs w:val="24"/>
          <w:rFonts w:ascii="Times New Roman" w:eastAsia="Times New Roman" w:hAnsi="Times New Roman" w:hint="default"/>
        </w:rPr>
        <w:t xml:space="preserve">the teaching facilities is 190 million RMB yuan and the fixed assets are 580 million </w:t>
      </w:r>
      <w:r>
        <w:rPr>
          <w:color w:val="auto"/>
          <w:position w:val="0"/>
          <w:sz w:val="24"/>
          <w:szCs w:val="24"/>
          <w:rFonts w:ascii="Times New Roman" w:eastAsia="Times New Roman" w:hAnsi="Times New Roman" w:hint="default"/>
        </w:rPr>
        <w:t xml:space="preserve">RMB yuan. There is 1 national training base. The on-campus training area is 110,000 </w:t>
      </w:r>
      <w:r>
        <w:rPr>
          <w:color w:val="auto"/>
          <w:position w:val="0"/>
          <w:sz w:val="24"/>
          <w:szCs w:val="24"/>
          <w:rFonts w:ascii="Times New Roman" w:eastAsia="Times New Roman" w:hAnsi="Times New Roman" w:hint="default"/>
        </w:rPr>
        <w:t xml:space="preserve">square meters and there are more than 200 off-campus training bases.</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Policy of Running School: Transportation-based, Market-oriented, Serving the </w:t>
      </w:r>
      <w:r>
        <w:rPr>
          <w:color w:val="auto"/>
          <w:position w:val="0"/>
          <w:sz w:val="24"/>
          <w:szCs w:val="24"/>
          <w:rFonts w:ascii="Times New Roman" w:eastAsia="Times New Roman" w:hAnsi="Times New Roman" w:hint="default"/>
        </w:rPr>
        <w:t xml:space="preserve">Society. </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Education model: Trade Dominated, Associations Connected, Enterprises </w:t>
      </w:r>
      <w:r>
        <w:rPr>
          <w:color w:val="auto"/>
          <w:position w:val="0"/>
          <w:sz w:val="24"/>
          <w:szCs w:val="24"/>
          <w:rFonts w:ascii="Times New Roman" w:eastAsia="Times New Roman" w:hAnsi="Times New Roman" w:hint="default"/>
        </w:rPr>
        <w:t>Cooperated.</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Features of Running School: Cooperating with Renowned Institutions and </w:t>
      </w:r>
      <w:r>
        <w:rPr>
          <w:color w:val="auto"/>
          <w:position w:val="0"/>
          <w:sz w:val="24"/>
          <w:szCs w:val="24"/>
          <w:rFonts w:ascii="Times New Roman" w:eastAsia="Times New Roman" w:hAnsi="Times New Roman" w:hint="default"/>
        </w:rPr>
        <w:t xml:space="preserve">Companies Home and Abroad; Serving positively the Communications Sector and the </w:t>
      </w:r>
      <w:r>
        <w:rPr>
          <w:color w:val="auto"/>
          <w:position w:val="0"/>
          <w:sz w:val="24"/>
          <w:szCs w:val="24"/>
          <w:rFonts w:ascii="Times New Roman" w:eastAsia="Times New Roman" w:hAnsi="Times New Roman" w:hint="default"/>
        </w:rPr>
        <w:t xml:space="preserve">Regional Economy.</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Mission of Running School: First-class faculty staff, First-class professionals, </w:t>
      </w:r>
      <w:r>
        <w:rPr>
          <w:color w:val="auto"/>
          <w:position w:val="0"/>
          <w:sz w:val="24"/>
          <w:szCs w:val="24"/>
          <w:rFonts w:ascii="Times New Roman" w:eastAsia="Times New Roman" w:hAnsi="Times New Roman" w:hint="default"/>
        </w:rPr>
        <w:t xml:space="preserve">First-class vocational college.</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Over the past decades, SVTCC has nurtured tens of thousands of graduates for </w:t>
      </w:r>
      <w:r>
        <w:rPr>
          <w:color w:val="auto"/>
          <w:position w:val="0"/>
          <w:sz w:val="24"/>
          <w:szCs w:val="24"/>
          <w:rFonts w:ascii="Times New Roman" w:eastAsia="Times New Roman" w:hAnsi="Times New Roman" w:hint="default"/>
        </w:rPr>
        <w:t xml:space="preserve">the society, with the employment rate over 96%. Most of them have been playing </w:t>
      </w:r>
      <w:r>
        <w:rPr>
          <w:color w:val="auto"/>
          <w:position w:val="0"/>
          <w:sz w:val="24"/>
          <w:szCs w:val="24"/>
          <w:rFonts w:ascii="Times New Roman" w:eastAsia="Times New Roman" w:hAnsi="Times New Roman" w:hint="default"/>
        </w:rPr>
        <w:t xml:space="preserve">important and irreplaceable roles in the communications sector, dedicating themselves </w:t>
      </w:r>
      <w:r>
        <w:rPr>
          <w:color w:val="auto"/>
          <w:position w:val="0"/>
          <w:sz w:val="24"/>
          <w:szCs w:val="24"/>
          <w:rFonts w:ascii="Times New Roman" w:eastAsia="Times New Roman" w:hAnsi="Times New Roman" w:hint="default"/>
        </w:rPr>
        <w:t xml:space="preserve">to the social and economic development of Sichuan and even the western China. The </w:t>
      </w:r>
      <w:r>
        <w:rPr>
          <w:color w:val="auto"/>
          <w:position w:val="0"/>
          <w:sz w:val="24"/>
          <w:szCs w:val="24"/>
          <w:rFonts w:ascii="Times New Roman" w:eastAsia="Times New Roman" w:hAnsi="Times New Roman" w:hint="default"/>
        </w:rPr>
        <w:t xml:space="preserve">quality of education and training is widely recognized by the society. There are many </w:t>
      </w:r>
      <w:r>
        <w:rPr>
          <w:color w:val="auto"/>
          <w:position w:val="0"/>
          <w:sz w:val="24"/>
          <w:szCs w:val="24"/>
          <w:rFonts w:ascii="Times New Roman" w:eastAsia="Times New Roman" w:hAnsi="Times New Roman" w:hint="default"/>
        </w:rPr>
        <w:t xml:space="preserve">outstanding graduates and students, represented by Mr. Mou Tingmin the well-known </w:t>
      </w:r>
      <w:r>
        <w:rPr>
          <w:color w:val="auto"/>
          <w:position w:val="0"/>
          <w:sz w:val="24"/>
          <w:szCs w:val="24"/>
          <w:rFonts w:ascii="Times New Roman" w:eastAsia="Times New Roman" w:hAnsi="Times New Roman" w:hint="default"/>
        </w:rPr>
        <w:t xml:space="preserve">bridge design master in China and Mr. Yang Wenhao the second-year student who </w:t>
      </w:r>
      <w:r>
        <w:rPr>
          <w:color w:val="auto"/>
          <w:position w:val="0"/>
          <w:sz w:val="24"/>
          <w:szCs w:val="24"/>
          <w:rFonts w:ascii="Times New Roman" w:eastAsia="Times New Roman" w:hAnsi="Times New Roman" w:hint="default"/>
        </w:rPr>
        <w:t xml:space="preserve">won the silver medal of "car technology "project in the 44th World Skills Competition.</w:t>
      </w:r>
    </w:p>
    <w:p>
      <w:pPr>
        <w:numPr>
          <w:ilvl w:val="0"/>
          <w:numId w:val="0"/>
        </w:numPr>
        <w:jc w:val="both"/>
        <w:spacing w:lineRule="auto" w:line="360" w:before="0" w:after="0"/>
        <w:ind w:right="0" w:firstLine="48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In the situation of educational globalization, SVTCC attaches great importance to </w:t>
      </w:r>
      <w:r>
        <w:rPr>
          <w:color w:val="auto"/>
          <w:position w:val="0"/>
          <w:sz w:val="24"/>
          <w:szCs w:val="24"/>
          <w:rFonts w:ascii="Times New Roman" w:eastAsia="Times New Roman" w:hAnsi="Times New Roman" w:hint="default"/>
        </w:rPr>
        <w:t xml:space="preserve">international exchanges. It has endeavored strenuously to develop joint programs, </w:t>
      </w:r>
      <w:r>
        <w:rPr>
          <w:color w:val="auto"/>
          <w:position w:val="0"/>
          <w:sz w:val="24"/>
          <w:szCs w:val="24"/>
          <w:rFonts w:ascii="Times New Roman" w:eastAsia="Times New Roman" w:hAnsi="Times New Roman" w:hint="default"/>
        </w:rPr>
        <w:t xml:space="preserve">faculty and student exchanges, curriculum cooperation, etc. with foreign educational </w:t>
      </w:r>
      <w:r>
        <w:rPr>
          <w:color w:val="auto"/>
          <w:position w:val="0"/>
          <w:sz w:val="24"/>
          <w:szCs w:val="24"/>
          <w:rFonts w:ascii="Times New Roman" w:eastAsia="Times New Roman" w:hAnsi="Times New Roman" w:hint="default"/>
        </w:rPr>
        <w:t xml:space="preserve">institutions and well-known companies. Over the past years, it signed agreements for </w:t>
      </w:r>
      <w:r>
        <w:rPr>
          <w:color w:val="auto"/>
          <w:position w:val="0"/>
          <w:sz w:val="24"/>
          <w:szCs w:val="24"/>
          <w:rFonts w:ascii="Times New Roman" w:eastAsia="Times New Roman" w:hAnsi="Times New Roman" w:hint="default"/>
        </w:rPr>
        <w:t xml:space="preserve">cooperation with Canada British Columbia Institute of Technology, and inked </w:t>
      </w:r>
      <w:r>
        <w:rPr>
          <w:color w:val="auto"/>
          <w:position w:val="0"/>
          <w:sz w:val="24"/>
          <w:szCs w:val="24"/>
          <w:rFonts w:ascii="Times New Roman" w:eastAsia="Times New Roman" w:hAnsi="Times New Roman" w:hint="default"/>
        </w:rPr>
        <w:t xml:space="preserve">memorandums of understanding for cooperation with Germany F+U, Canada Red </w:t>
      </w:r>
      <w:r>
        <w:rPr>
          <w:color w:val="auto"/>
          <w:position w:val="0"/>
          <w:sz w:val="24"/>
          <w:szCs w:val="24"/>
          <w:rFonts w:ascii="Times New Roman" w:eastAsia="Times New Roman" w:hAnsi="Times New Roman" w:hint="default"/>
        </w:rPr>
        <w:t xml:space="preserve">River College, Austria HTL Braunau, Australia West Sydney Institute, Malaysia UM </w:t>
      </w:r>
      <w:r>
        <w:rPr>
          <w:color w:val="auto"/>
          <w:position w:val="0"/>
          <w:sz w:val="24"/>
          <w:szCs w:val="24"/>
          <w:rFonts w:ascii="Times New Roman" w:eastAsia="Times New Roman" w:hAnsi="Times New Roman" w:hint="default"/>
        </w:rPr>
        <w:t xml:space="preserve">and Hong Kong VTC, and implemented the short-term studies programs for students </w:t>
      </w:r>
      <w:r>
        <w:rPr>
          <w:color w:val="auto"/>
          <w:position w:val="0"/>
          <w:sz w:val="24"/>
          <w:szCs w:val="24"/>
          <w:rFonts w:ascii="Times New Roman" w:eastAsia="Times New Roman" w:hAnsi="Times New Roman" w:hint="default"/>
        </w:rPr>
        <w:t xml:space="preserve">with Taiwan Chaoyang University of Technology and Taipei City University of </w:t>
      </w:r>
      <w:r>
        <w:rPr>
          <w:color w:val="auto"/>
          <w:position w:val="0"/>
          <w:sz w:val="24"/>
          <w:szCs w:val="24"/>
          <w:rFonts w:ascii="Times New Roman" w:eastAsia="Times New Roman" w:hAnsi="Times New Roman" w:hint="default"/>
        </w:rPr>
        <w:t xml:space="preserve">Technology. It has established training bases jointly with TOYOTA, BMW, AUDI, </w:t>
      </w:r>
      <w:r>
        <w:rPr>
          <w:color w:val="auto"/>
          <w:position w:val="0"/>
          <w:sz w:val="24"/>
          <w:szCs w:val="24"/>
          <w:rFonts w:ascii="Times New Roman" w:eastAsia="Times New Roman" w:hAnsi="Times New Roman" w:hint="default"/>
        </w:rPr>
        <w:t xml:space="preserve">VALKSWAGON, PEUGEOT, CITROEN, etc. for professional qualification </w:t>
      </w:r>
      <w:r>
        <w:rPr>
          <w:color w:val="auto"/>
          <w:position w:val="0"/>
          <w:sz w:val="24"/>
          <w:szCs w:val="24"/>
          <w:rFonts w:ascii="Times New Roman" w:eastAsia="Times New Roman" w:hAnsi="Times New Roman" w:hint="default"/>
        </w:rPr>
        <w:t xml:space="preserve">certificate training. In recent years, educational institutions from Canada, UK, </w:t>
      </w:r>
      <w:r>
        <w:rPr>
          <w:color w:val="auto"/>
          <w:position w:val="0"/>
          <w:sz w:val="24"/>
          <w:szCs w:val="24"/>
          <w:rFonts w:ascii="Times New Roman" w:eastAsia="Times New Roman" w:hAnsi="Times New Roman" w:hint="default"/>
        </w:rPr>
        <w:t xml:space="preserve">Germany, Russia, Australia, New Zealand, Japan, South Korea, Singapore, Malaysia, </w:t>
      </w:r>
      <w:r>
        <w:rPr>
          <w:color w:val="auto"/>
          <w:position w:val="0"/>
          <w:sz w:val="24"/>
          <w:szCs w:val="24"/>
          <w:rFonts w:ascii="Times New Roman" w:eastAsia="Times New Roman" w:hAnsi="Times New Roman" w:hint="default"/>
        </w:rPr>
        <w:t xml:space="preserve">etc., paid visits to SVTCC and established friendly relationship, laying a good </w:t>
      </w:r>
      <w:r>
        <w:rPr>
          <w:color w:val="auto"/>
          <w:position w:val="0"/>
          <w:sz w:val="24"/>
          <w:szCs w:val="24"/>
          <w:rFonts w:ascii="Times New Roman" w:eastAsia="Times New Roman" w:hAnsi="Times New Roman" w:hint="default"/>
        </w:rPr>
        <w:t xml:space="preserve">foundation for potential cooperation.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fldChar w:fldCharType="begin"/>
      </w:r>
      <w:r>
        <w:rPr>
          <w:b w:val="1"/>
          <w:color w:val="auto"/>
          <w:position w:val="0"/>
          <w:sz w:val="24"/>
          <w:szCs w:val="24"/>
          <w:rFonts w:ascii="Times New Roman" w:eastAsia="Times New Roman" w:hAnsi="Times New Roman" w:hint="default"/>
          <w:rFonts w:hint="eastAsia"/>
        </w:rPr>
        <w:instrText>= 2 \* ROMAN</w:instrText>
      </w:r>
      <w:r>
        <w:fldChar w:fldCharType="separate"/>
      </w:r>
      <w:r>
        <w:rPr>
          <w:b w:val="1"/>
          <w:color w:val="auto"/>
          <w:position w:val="0"/>
          <w:sz w:val="24"/>
          <w:szCs w:val="24"/>
          <w:rFonts w:ascii="Times New Roman" w:eastAsia="Times New Roman" w:hAnsi="Times New Roman" w:hint="default"/>
        </w:rPr>
        <w:t>II</w:t>
      </w:r>
      <w:r>
        <w:rPr>
          <w:b w:val="1"/>
          <w:color w:val="auto"/>
          <w:position w:val="0"/>
          <w:sz w:val="24"/>
          <w:szCs w:val="24"/>
          <w:rFonts w:ascii="Times New Roman" w:eastAsia="Times New Roman" w:hAnsi="Times New Roman" w:hint="default"/>
        </w:rPr>
        <w:fldChar w:fldCharType="end"/>
      </w:r>
      <w:r>
        <w:rPr>
          <w:b w:val="1"/>
          <w:color w:val="auto"/>
          <w:position w:val="0"/>
          <w:sz w:val="24"/>
          <w:szCs w:val="24"/>
          <w:rFonts w:ascii="Times New Roman" w:eastAsia="Times New Roman" w:hAnsi="Times New Roman" w:hint="default"/>
        </w:rPr>
        <w:t xml:space="preserve">.  Programs, Plans and Academic System</w:t>
      </w: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top w:w="0" w:type="dxa"/>
          <w:right w:w="108" w:type="dxa"/>
          <w:bottom w:w="0" w:type="dxa"/>
        </w:tblCellMar>
        <w:tblW w:w="0" w:type="auto"/>
        <w:tblLook w:val="0000A0" w:firstRow="1" w:lastRow="0" w:firstColumn="1" w:lastColumn="0" w:noHBand="0" w:noVBand="0"/>
        <w:tblLayout w:type="auto"/>
      </w:tblPr>
      <w:tblGrid>
        <w:gridCol w:w="3397"/>
        <w:gridCol w:w="1701"/>
        <w:gridCol w:w="1560"/>
        <w:gridCol w:w="1638"/>
      </w:tblGrid>
      <w:tr>
        <w:trPr>
          <w:trHeight w:hRule="atleast" w:val="364"/>
          <w:hidden w:val="0"/>
        </w:trPr>
        <w:tc>
          <w:tcPr>
            <w:tcW w:type="dxa" w:w="3397"/>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Program</w:t>
            </w:r>
          </w:p>
        </w:tc>
        <w:tc>
          <w:tcPr>
            <w:tcW w:type="dxa" w:w="1701"/>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Plan</w:t>
            </w:r>
          </w:p>
        </w:tc>
        <w:tc>
          <w:tcPr>
            <w:tcW w:type="dxa" w:w="1560"/>
            <w:vAlign w:val="top"/>
          </w:tcPr>
          <w:p>
            <w:pPr>
              <w:numPr>
                <w:ilvl w:val="0"/>
                <w:numId w:val="0"/>
              </w:numPr>
              <w:jc w:val="both"/>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Academic </w:t>
            </w:r>
            <w:r>
              <w:rPr>
                <w:color w:val="auto"/>
                <w:position w:val="0"/>
                <w:sz w:val="24"/>
                <w:szCs w:val="24"/>
                <w:rFonts w:ascii="Calibri" w:eastAsia="Times New Roman" w:hAnsi="Times New Roman" w:hint="default"/>
              </w:rPr>
              <w:t>duration</w:t>
            </w:r>
          </w:p>
        </w:tc>
        <w:tc>
          <w:tcPr>
            <w:tcW w:type="dxa" w:w="1638"/>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Credential</w:t>
            </w:r>
          </w:p>
        </w:tc>
      </w:tr>
      <w:tr>
        <w:trPr>
          <w:trHeight w:hRule="atleast" w:val="394"/>
          <w:hidden w:val="0"/>
        </w:trPr>
        <w:tc>
          <w:tcPr>
            <w:tcW w:type="dxa" w:w="3397"/>
            <w:vAlign w:val="top"/>
          </w:tcPr>
          <w:p>
            <w:pPr>
              <w:numPr>
                <w:ilvl w:val="0"/>
                <w:numId w:val="0"/>
              </w:numPr>
              <w:jc w:val="left"/>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Automobile applied technology</w:t>
            </w:r>
          </w:p>
        </w:tc>
        <w:tc>
          <w:tcPr>
            <w:tcW w:type="dxa" w:w="1701"/>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20 students</w:t>
            </w:r>
          </w:p>
        </w:tc>
        <w:tc>
          <w:tcPr>
            <w:tcW w:type="dxa" w:w="1560"/>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3 years</w:t>
            </w:r>
          </w:p>
        </w:tc>
        <w:tc>
          <w:tcPr>
            <w:tcW w:type="dxa" w:w="1638"/>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Diploma</w:t>
            </w:r>
          </w:p>
        </w:tc>
      </w:tr>
      <w:tr>
        <w:trPr>
          <w:trHeight w:hRule="atleast" w:val="51"/>
          <w:hidden w:val="0"/>
        </w:trPr>
        <w:tc>
          <w:tcPr>
            <w:tcW w:type="dxa" w:w="3397"/>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Project cost</w:t>
            </w:r>
          </w:p>
        </w:tc>
        <w:tc>
          <w:tcPr>
            <w:tcW w:type="dxa" w:w="1701"/>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20 students</w:t>
            </w:r>
          </w:p>
        </w:tc>
        <w:tc>
          <w:tcPr>
            <w:tcW w:type="dxa" w:w="1560"/>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3 years</w:t>
            </w:r>
          </w:p>
        </w:tc>
        <w:tc>
          <w:tcPr>
            <w:tcW w:type="dxa" w:w="1638"/>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Diploma</w:t>
            </w:r>
          </w:p>
        </w:tc>
      </w:tr>
      <w:tr>
        <w:trPr>
          <w:trHeight w:hRule="atleast" w:val="364"/>
          <w:hidden w:val="0"/>
        </w:trPr>
        <w:tc>
          <w:tcPr>
            <w:tcW w:type="dxa" w:w="3397"/>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Electronic and information </w:t>
            </w:r>
            <w:r>
              <w:rPr>
                <w:color w:val="auto"/>
                <w:position w:val="0"/>
                <w:sz w:val="24"/>
                <w:szCs w:val="24"/>
                <w:rFonts w:ascii="Calibri" w:eastAsia="Times New Roman" w:hAnsi="Times New Roman" w:hint="default"/>
              </w:rPr>
              <w:t xml:space="preserve">engineering technology</w:t>
            </w:r>
          </w:p>
        </w:tc>
        <w:tc>
          <w:tcPr>
            <w:tcW w:type="dxa" w:w="1701"/>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20 students</w:t>
            </w:r>
          </w:p>
        </w:tc>
        <w:tc>
          <w:tcPr>
            <w:tcW w:type="dxa" w:w="1560"/>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3 years</w:t>
            </w:r>
          </w:p>
        </w:tc>
        <w:tc>
          <w:tcPr>
            <w:tcW w:type="dxa" w:w="1638"/>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Diploma</w:t>
            </w:r>
          </w:p>
        </w:tc>
      </w:tr>
      <w:tr>
        <w:trPr>
          <w:trHeight w:hRule="atleast" w:val="375"/>
          <w:hidden w:val="0"/>
        </w:trPr>
        <w:tc>
          <w:tcPr>
            <w:tcW w:type="dxa" w:w="3397"/>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Logistics and management</w:t>
            </w:r>
          </w:p>
        </w:tc>
        <w:tc>
          <w:tcPr>
            <w:tcW w:type="dxa" w:w="1701"/>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20 students</w:t>
            </w:r>
          </w:p>
        </w:tc>
        <w:tc>
          <w:tcPr>
            <w:tcW w:type="dxa" w:w="1560"/>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3 years</w:t>
            </w:r>
          </w:p>
        </w:tc>
        <w:tc>
          <w:tcPr>
            <w:tcW w:type="dxa" w:w="1638"/>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Diploma</w:t>
            </w:r>
          </w:p>
        </w:tc>
      </w:tr>
    </w:tbl>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fldChar w:fldCharType="begin"/>
      </w:r>
      <w:r>
        <w:rPr>
          <w:b w:val="1"/>
          <w:color w:val="auto"/>
          <w:position w:val="0"/>
          <w:sz w:val="24"/>
          <w:szCs w:val="24"/>
          <w:rFonts w:ascii="Times New Roman" w:eastAsia="Times New Roman" w:hAnsi="Times New Roman" w:hint="default"/>
          <w:rFonts w:hint="eastAsia"/>
        </w:rPr>
        <w:instrText>= 3 \* ROMAN</w:instrText>
      </w:r>
      <w:r>
        <w:fldChar w:fldCharType="separate"/>
      </w:r>
      <w:r>
        <w:rPr>
          <w:b w:val="1"/>
          <w:color w:val="auto"/>
          <w:position w:val="0"/>
          <w:sz w:val="24"/>
          <w:szCs w:val="24"/>
          <w:rFonts w:ascii="Times New Roman" w:eastAsia="Times New Roman" w:hAnsi="Times New Roman" w:hint="default"/>
        </w:rPr>
        <w:t>III</w:t>
      </w:r>
      <w:r>
        <w:rPr>
          <w:b w:val="1"/>
          <w:color w:val="auto"/>
          <w:position w:val="0"/>
          <w:sz w:val="24"/>
          <w:szCs w:val="24"/>
          <w:rFonts w:ascii="Times New Roman" w:eastAsia="Times New Roman" w:hAnsi="Times New Roman" w:hint="default"/>
        </w:rPr>
        <w:fldChar w:fldCharType="end"/>
      </w:r>
      <w:r>
        <w:rPr>
          <w:b w:val="1"/>
          <w:color w:val="auto"/>
          <w:position w:val="0"/>
          <w:sz w:val="24"/>
          <w:szCs w:val="24"/>
          <w:rFonts w:ascii="Times New Roman" w:eastAsia="Times New Roman" w:hAnsi="Times New Roman" w:hint="default"/>
        </w:rPr>
        <w:t xml:space="preserve">.  Application Prerequisite</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top w:w="0" w:type="dxa"/>
          <w:right w:w="108" w:type="dxa"/>
          <w:bottom w:w="0" w:type="dxa"/>
        </w:tblCellMar>
        <w:tblW w:w="8698" w:type="dxa"/>
        <w:tblInd w:w="-176" w:type="dxa"/>
        <w:tblLook w:val="0000A0" w:firstRow="1" w:lastRow="0" w:firstColumn="1" w:lastColumn="0" w:noHBand="0" w:noVBand="0"/>
        <w:tblLayout w:type="fixed"/>
      </w:tblPr>
      <w:tblGrid>
        <w:gridCol w:w="1277"/>
        <w:gridCol w:w="3714"/>
        <w:gridCol w:w="1701"/>
        <w:gridCol w:w="2006"/>
      </w:tblGrid>
      <w:tr>
        <w:trPr>
          <w:trHeight w:hRule="atleast" w:val="187"/>
          <w:hidden w:val="0"/>
        </w:trPr>
        <w:tc>
          <w:tcPr>
            <w:tcW w:type="dxa" w:w="1277"/>
            <w:vAlign w:val="center"/>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Category</w:t>
            </w:r>
          </w:p>
        </w:tc>
        <w:tc>
          <w:tcPr>
            <w:tcW w:type="dxa" w:w="3714"/>
            <w:vAlign w:val="center"/>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Eligibility</w:t>
            </w:r>
          </w:p>
        </w:tc>
        <w:tc>
          <w:tcPr>
            <w:tcW w:type="dxa" w:w="1701"/>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Age</w:t>
            </w:r>
          </w:p>
        </w:tc>
        <w:tc>
          <w:tcPr>
            <w:tcW w:type="dxa" w:w="2006"/>
            <w:vAlign w:val="center"/>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Materials to be </w:t>
            </w:r>
            <w:r>
              <w:rPr>
                <w:color w:val="auto"/>
                <w:position w:val="0"/>
                <w:sz w:val="24"/>
                <w:szCs w:val="24"/>
                <w:rFonts w:ascii="Calibri" w:eastAsia="Times New Roman" w:hAnsi="Times New Roman" w:hint="default"/>
              </w:rPr>
              <w:t>submitted</w:t>
            </w:r>
          </w:p>
        </w:tc>
      </w:tr>
      <w:tr>
        <w:trPr>
          <w:trHeight w:hRule="atleast" w:val="274"/>
          <w:hidden w:val="0"/>
        </w:trPr>
        <w:tc>
          <w:tcPr>
            <w:tcW w:type="dxa" w:w="1277"/>
            <w:vAlign w:val="center"/>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Diploma </w:t>
            </w:r>
            <w:r>
              <w:rPr>
                <w:color w:val="auto"/>
                <w:position w:val="0"/>
                <w:sz w:val="24"/>
                <w:szCs w:val="24"/>
                <w:rFonts w:ascii="Calibri" w:eastAsia="Times New Roman" w:hAnsi="Times New Roman" w:hint="default"/>
              </w:rPr>
              <w:t>students</w:t>
            </w:r>
          </w:p>
        </w:tc>
        <w:tc>
          <w:tcPr>
            <w:tcW w:type="dxa" w:w="3714"/>
            <w:vAlign w:val="center"/>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Senior high school graduate or </w:t>
            </w:r>
            <w:r>
              <w:rPr>
                <w:color w:val="auto"/>
                <w:position w:val="0"/>
                <w:sz w:val="24"/>
                <w:szCs w:val="24"/>
                <w:rFonts w:ascii="Calibri" w:eastAsia="Times New Roman" w:hAnsi="Times New Roman" w:hint="default"/>
              </w:rPr>
              <w:t xml:space="preserve">above with the certificate of HSK </w:t>
            </w:r>
            <w:r>
              <w:rPr>
                <w:color w:val="auto"/>
                <w:position w:val="0"/>
                <w:sz w:val="24"/>
                <w:szCs w:val="24"/>
                <w:rFonts w:ascii="Calibri" w:eastAsia="Times New Roman" w:hAnsi="Times New Roman" w:hint="default"/>
              </w:rPr>
              <w:t xml:space="preserve">Level 3 or Chinese competency </w:t>
            </w:r>
            <w:r>
              <w:rPr>
                <w:color w:val="auto"/>
                <w:position w:val="0"/>
                <w:sz w:val="24"/>
                <w:szCs w:val="24"/>
                <w:rFonts w:ascii="Calibri" w:eastAsia="Times New Roman" w:hAnsi="Times New Roman" w:hint="default"/>
              </w:rPr>
              <w:t xml:space="preserve">equivalent to HSK Level 3</w:t>
            </w:r>
          </w:p>
        </w:tc>
        <w:tc>
          <w:tcPr>
            <w:tcW w:type="dxa" w:w="1701"/>
            <w:vAlign w:val="top"/>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18-26 year-old</w:t>
            </w:r>
          </w:p>
        </w:tc>
        <w:tc>
          <w:tcPr>
            <w:tcW w:type="dxa" w:w="2006"/>
            <w:vAlign w:val="center"/>
          </w:tcPr>
          <w:p>
            <w:pPr>
              <w:numPr>
                <w:ilvl w:val="0"/>
                <w:numId w:val="0"/>
              </w:numPr>
              <w:jc w:val="center"/>
              <w:spacing w:lineRule="auto" w:line="240" w:before="0" w:after="0"/>
              <w:ind w:right="0" w:firstLine="0"/>
              <w:rPr>
                <w:color w:val="auto"/>
                <w:position w:val="0"/>
                <w:sz w:val="24"/>
                <w:szCs w:val="24"/>
                <w:rFonts w:ascii="Calibri" w:eastAsia="Times New Roman" w:hAnsi="Times New Roman" w:hint="default"/>
              </w:rPr>
              <w:autoSpaceDE w:val="1"/>
              <w:autoSpaceDN w:val="1"/>
            </w:pPr>
            <w:r>
              <w:rPr>
                <w:color w:val="auto"/>
                <w:position w:val="0"/>
                <w:sz w:val="24"/>
                <w:szCs w:val="24"/>
                <w:rFonts w:ascii="Calibri" w:eastAsia="Times New Roman" w:hAnsi="Times New Roman" w:hint="default"/>
              </w:rPr>
              <w:t xml:space="preserve">The highest </w:t>
            </w:r>
            <w:r>
              <w:rPr>
                <w:color w:val="auto"/>
                <w:position w:val="0"/>
                <w:sz w:val="24"/>
                <w:szCs w:val="24"/>
                <w:rFonts w:ascii="Calibri" w:eastAsia="Times New Roman" w:hAnsi="Times New Roman" w:hint="default"/>
              </w:rPr>
              <w:t xml:space="preserve">diploma and the </w:t>
            </w:r>
            <w:r>
              <w:rPr>
                <w:color w:val="auto"/>
                <w:position w:val="0"/>
                <w:sz w:val="24"/>
                <w:szCs w:val="24"/>
                <w:rFonts w:ascii="Calibri" w:eastAsia="Times New Roman" w:hAnsi="Times New Roman" w:hint="default"/>
              </w:rPr>
              <w:t xml:space="preserve">certificate of HSK</w:t>
            </w:r>
          </w:p>
        </w:tc>
      </w:tr>
    </w:tbl>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Notes: all applicants are required to submit the following materials: the application </w:t>
      </w:r>
      <w:r>
        <w:rPr>
          <w:color w:val="auto"/>
          <w:position w:val="0"/>
          <w:sz w:val="24"/>
          <w:szCs w:val="24"/>
          <w:rFonts w:ascii="Times New Roman" w:eastAsia="Times New Roman" w:hAnsi="Times New Roman" w:hint="default"/>
        </w:rPr>
        <w:t xml:space="preserve">form, the photo copy of the passport, the photo copy of the certificate/diploma, the </w:t>
      </w:r>
      <w:r>
        <w:rPr>
          <w:color w:val="auto"/>
          <w:position w:val="0"/>
          <w:sz w:val="24"/>
          <w:szCs w:val="24"/>
          <w:rFonts w:ascii="Times New Roman" w:eastAsia="Times New Roman" w:hAnsi="Times New Roman" w:hint="default"/>
        </w:rPr>
        <w:t xml:space="preserve">physical examination form, the 2 passport photos, and the resume.</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fldChar w:fldCharType="begin"/>
      </w:r>
      <w:r>
        <w:rPr>
          <w:b w:val="1"/>
          <w:color w:val="auto"/>
          <w:position w:val="0"/>
          <w:sz w:val="24"/>
          <w:szCs w:val="24"/>
          <w:rFonts w:ascii="Times New Roman" w:eastAsia="Times New Roman" w:hAnsi="Times New Roman" w:hint="default"/>
          <w:rFonts w:hint="eastAsia"/>
        </w:rPr>
        <w:instrText>= 4 \* ROMAN</w:instrText>
      </w:r>
      <w:r>
        <w:fldChar w:fldCharType="separate"/>
      </w:r>
      <w:r>
        <w:rPr>
          <w:b w:val="1"/>
          <w:color w:val="auto"/>
          <w:position w:val="0"/>
          <w:sz w:val="24"/>
          <w:szCs w:val="24"/>
          <w:rFonts w:ascii="Times New Roman" w:eastAsia="Times New Roman" w:hAnsi="Times New Roman" w:hint="default"/>
        </w:rPr>
        <w:t>IV</w:t>
      </w:r>
      <w:r>
        <w:rPr>
          <w:b w:val="1"/>
          <w:color w:val="auto"/>
          <w:position w:val="0"/>
          <w:sz w:val="24"/>
          <w:szCs w:val="24"/>
          <w:rFonts w:ascii="Times New Roman" w:eastAsia="Times New Roman" w:hAnsi="Times New Roman" w:hint="default"/>
        </w:rPr>
        <w:fldChar w:fldCharType="end"/>
      </w:r>
      <w:r>
        <w:rPr>
          <w:b w:val="1"/>
          <w:color w:val="auto"/>
          <w:position w:val="0"/>
          <w:sz w:val="24"/>
          <w:szCs w:val="24"/>
          <w:rFonts w:ascii="Times New Roman" w:eastAsia="Times New Roman" w:hAnsi="Times New Roman" w:hint="default"/>
        </w:rPr>
        <w:t xml:space="preserve">.  Scholarship</w:t>
      </w:r>
    </w:p>
    <w:p>
      <w:pPr>
        <w:bidi w:val="0"/>
        <w:numPr>
          <w:ilvl w:val="0"/>
          <w:numId w:val="15"/>
        </w:numPr>
        <w:jc w:val="both"/>
        <w:spacing w:lineRule="auto" w:line="360" w:before="0" w:after="0"/>
        <w:ind w:right="0" w:left="360" w:hanging="36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Full scholarship covering tuition, accommodation, textbooks, insurance, etc.</w:t>
      </w:r>
    </w:p>
    <w:p>
      <w:pPr>
        <w:bidi w:val="0"/>
        <w:numPr>
          <w:ilvl w:val="0"/>
          <w:numId w:val="15"/>
        </w:numPr>
        <w:jc w:val="both"/>
        <w:spacing w:lineRule="auto" w:line="360" w:before="0" w:after="0"/>
        <w:ind w:right="0" w:left="360" w:hanging="36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Food allowance: 600 RMB yuan per month for each student, based on the </w:t>
      </w:r>
      <w:r>
        <w:rPr>
          <w:color w:val="auto"/>
          <w:position w:val="0"/>
          <w:sz w:val="24"/>
          <w:szCs w:val="24"/>
          <w:rFonts w:ascii="Times New Roman" w:eastAsia="Times New Roman" w:hAnsi="Times New Roman" w:hint="default"/>
        </w:rPr>
        <w:t xml:space="preserve">academic year (10 months).</w:t>
      </w: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fldChar w:fldCharType="begin"/>
      </w:r>
      <w:r>
        <w:rPr>
          <w:b w:val="1"/>
          <w:color w:val="auto"/>
          <w:position w:val="0"/>
          <w:sz w:val="24"/>
          <w:szCs w:val="24"/>
          <w:rFonts w:ascii="Times New Roman" w:eastAsia="Times New Roman" w:hAnsi="Times New Roman" w:hint="default"/>
          <w:rFonts w:hint="eastAsia"/>
        </w:rPr>
        <w:instrText>= 5 \* ROMAN</w:instrText>
      </w:r>
      <w:r>
        <w:fldChar w:fldCharType="separate"/>
      </w:r>
      <w:r>
        <w:rPr>
          <w:b w:val="1"/>
          <w:color w:val="auto"/>
          <w:position w:val="0"/>
          <w:sz w:val="24"/>
          <w:szCs w:val="24"/>
          <w:rFonts w:ascii="Times New Roman" w:eastAsia="Times New Roman" w:hAnsi="Times New Roman" w:hint="default"/>
        </w:rPr>
        <w:t>V</w:t>
      </w:r>
      <w:r>
        <w:rPr>
          <w:b w:val="1"/>
          <w:color w:val="auto"/>
          <w:position w:val="0"/>
          <w:sz w:val="24"/>
          <w:szCs w:val="24"/>
          <w:rFonts w:ascii="Times New Roman" w:eastAsia="Times New Roman" w:hAnsi="Times New Roman" w:hint="default"/>
        </w:rPr>
        <w:fldChar w:fldCharType="end"/>
      </w:r>
      <w:r>
        <w:rPr>
          <w:b w:val="1"/>
          <w:color w:val="auto"/>
          <w:position w:val="0"/>
          <w:sz w:val="24"/>
          <w:szCs w:val="24"/>
          <w:rFonts w:ascii="Times New Roman" w:eastAsia="Times New Roman" w:hAnsi="Times New Roman" w:hint="default"/>
        </w:rPr>
        <w:t xml:space="preserve">. Application procedure</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SVTCC signs agreement of international students recruitment with educational </w:t>
      </w:r>
      <w:r>
        <w:rPr>
          <w:color w:val="auto"/>
          <w:position w:val="0"/>
          <w:sz w:val="24"/>
          <w:szCs w:val="24"/>
          <w:rFonts w:ascii="Times New Roman" w:eastAsia="Times New Roman" w:hAnsi="Times New Roman" w:hint="default"/>
        </w:rPr>
        <w:t xml:space="preserve">administrative authorities, institutions, high schools of the countries along the Belt </w:t>
      </w:r>
      <w:r>
        <w:rPr>
          <w:color w:val="auto"/>
          <w:position w:val="0"/>
          <w:sz w:val="24"/>
          <w:szCs w:val="24"/>
          <w:rFonts w:ascii="Times New Roman" w:eastAsia="Times New Roman" w:hAnsi="Times New Roman" w:hint="default"/>
        </w:rPr>
        <w:t xml:space="preserve">and Road, including the Laos, Malaysia, Thailand, Bangladesh, Pakistan, etc. All </w:t>
      </w:r>
      <w:r>
        <w:rPr>
          <w:color w:val="auto"/>
          <w:position w:val="0"/>
          <w:sz w:val="24"/>
          <w:szCs w:val="24"/>
          <w:rFonts w:ascii="Times New Roman" w:eastAsia="Times New Roman" w:hAnsi="Times New Roman" w:hint="default"/>
        </w:rPr>
        <w:t xml:space="preserve">those wishing to study at SVTCC are advised to go to the Chinese embassies or </w:t>
      </w:r>
      <w:r>
        <w:rPr>
          <w:color w:val="auto"/>
          <w:position w:val="0"/>
          <w:sz w:val="24"/>
          <w:szCs w:val="24"/>
          <w:rFonts w:ascii="Times New Roman" w:eastAsia="Times New Roman" w:hAnsi="Times New Roman" w:hint="default"/>
        </w:rPr>
        <w:t xml:space="preserve">general consulates and overseas Chinese organizations in the afore-mentioned </w:t>
      </w:r>
      <w:r>
        <w:rPr>
          <w:color w:val="auto"/>
          <w:position w:val="0"/>
          <w:sz w:val="24"/>
          <w:szCs w:val="24"/>
          <w:rFonts w:ascii="Times New Roman" w:eastAsia="Times New Roman" w:hAnsi="Times New Roman" w:hint="default"/>
        </w:rPr>
        <w:t xml:space="preserve">countries to obtain the SVTCC international students recruitment guidebook and </w:t>
      </w:r>
      <w:r>
        <w:rPr>
          <w:color w:val="auto"/>
          <w:position w:val="0"/>
          <w:sz w:val="24"/>
          <w:szCs w:val="24"/>
          <w:rFonts w:ascii="Times New Roman" w:eastAsia="Times New Roman" w:hAnsi="Times New Roman" w:hint="default"/>
        </w:rPr>
        <w:t xml:space="preserve">submit written application form. The contact information of the SVTCC recruitment </w:t>
      </w:r>
      <w:r>
        <w:rPr>
          <w:color w:val="auto"/>
          <w:position w:val="0"/>
          <w:sz w:val="24"/>
          <w:szCs w:val="24"/>
          <w:rFonts w:ascii="Times New Roman" w:eastAsia="Times New Roman" w:hAnsi="Times New Roman" w:hint="default"/>
        </w:rPr>
        <w:t xml:space="preserve">office based in the relevant countries will be released on the SVTCC website.</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fldChar w:fldCharType="begin"/>
      </w:r>
      <w:r>
        <w:rPr>
          <w:color w:val="auto"/>
          <w:position w:val="0"/>
          <w:sz w:val="24"/>
          <w:szCs w:val="24"/>
          <w:rFonts w:ascii="Times New Roman" w:eastAsia="Times New Roman" w:hAnsi="Times New Roman" w:hint="default"/>
          <w:rFonts w:hint="eastAsia"/>
        </w:rPr>
        <w:instrText>= 6 \* ROMAN</w:instrText>
      </w:r>
      <w:r>
        <w:fldChar w:fldCharType="separate"/>
      </w:r>
      <w:r>
        <w:rPr>
          <w:color w:val="auto"/>
          <w:position w:val="0"/>
          <w:sz w:val="24"/>
          <w:szCs w:val="24"/>
          <w:rFonts w:ascii="Times New Roman" w:eastAsia="Times New Roman" w:hAnsi="Times New Roman" w:hint="default"/>
        </w:rPr>
        <w:t>VI</w:t>
      </w:r>
      <w:r>
        <w:rPr>
          <w:color w:val="auto"/>
          <w:position w:val="0"/>
          <w:sz w:val="24"/>
          <w:szCs w:val="24"/>
          <w:rFonts w:ascii="Times New Roman" w:eastAsia="Times New Roman" w:hAnsi="Times New Roman" w:hint="default"/>
        </w:rPr>
        <w:fldChar w:fldCharType="end"/>
      </w:r>
      <w:r>
        <w:rPr>
          <w:color w:val="auto"/>
          <w:position w:val="0"/>
          <w:sz w:val="24"/>
          <w:szCs w:val="24"/>
          <w:rFonts w:ascii="Times New Roman" w:eastAsia="Times New Roman" w:hAnsi="Times New Roman" w:hint="default"/>
        </w:rPr>
        <w:t xml:space="preserve">. Contact</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Address:  208 Liutai Avenue East, Wenjiang District, Chengdu City, Sichuan    </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         Province, P.R. China</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Tel/Fax:  86 + 28+82681012   86+28+82680064</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Email:   davidliu838@sina.com   vannyf@foxmail.com</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Website:  </w:t>
      </w:r>
      <w:hyperlink r:id="rId8">
        <w:r>
          <w:rPr>
            <w:color w:val="auto"/>
            <w:position w:val="0"/>
            <w:sz w:val="24"/>
            <w:szCs w:val="24"/>
            <w:rFonts w:ascii="Times New Roman" w:eastAsia="Times New Roman" w:hAnsi="Times New Roman" w:hint="default"/>
          </w:rPr>
          <w:t>http://www.svtcc.edu.cn/</w:t>
        </w:r>
      </w:hyperlink>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numPr>
          <w:ilvl w:val="0"/>
          <w:numId w:val="0"/>
        </w:numPr>
        <w:jc w:val="both"/>
        <w:spacing w:lineRule="auto" w:line="360" w:before="0" w:after="0"/>
        <w:ind w:right="0" w:firstLine="0"/>
        <w:rPr>
          <w:i w:val="1"/>
          <w:color w:val="auto"/>
          <w:position w:val="0"/>
          <w:sz w:val="24"/>
          <w:szCs w:val="24"/>
          <w:rFonts w:ascii="Times New Roman" w:eastAsia="Times New Roman" w:hAnsi="Times New Roman" w:hint="default"/>
        </w:rPr>
        <w:autoSpaceDE w:val="1"/>
        <w:autoSpaceDN w:val="1"/>
      </w:pPr>
      <w:r>
        <w:rPr>
          <w:i w:val="1"/>
          <w:color w:val="auto"/>
          <w:position w:val="0"/>
          <w:sz w:val="24"/>
          <w:szCs w:val="24"/>
          <w:rFonts w:ascii="Times New Roman" w:eastAsia="Times New Roman" w:hAnsi="Times New Roman" w:hint="default"/>
        </w:rPr>
        <w:t>Attachments</w:t>
      </w:r>
      <w:r>
        <w:rPr>
          <w:i w:val="1"/>
          <w:color w:val="auto"/>
          <w:position w:val="0"/>
          <w:sz w:val="24"/>
          <w:szCs w:val="24"/>
          <w:rFonts w:ascii="Times New Roman" w:eastAsia="宋体" w:hAnsi="宋体" w:hint="default"/>
        </w:rPr>
        <w:t>：</w:t>
      </w:r>
    </w:p>
    <w:p>
      <w:pPr>
        <w:numPr>
          <w:ilvl w:val="0"/>
          <w:numId w:val="0"/>
        </w:numPr>
        <w:jc w:val="both"/>
        <w:spacing w:lineRule="auto" w:line="360" w:before="0" w:after="0"/>
        <w:ind w:right="0" w:firstLine="0"/>
        <w:rPr>
          <w:i w:val="1"/>
          <w:color w:val="auto"/>
          <w:position w:val="0"/>
          <w:sz w:val="24"/>
          <w:szCs w:val="24"/>
          <w:rFonts w:ascii="Times New Roman" w:eastAsia="Times New Roman" w:hAnsi="Times New Roman" w:hint="default"/>
        </w:rPr>
        <w:autoSpaceDE w:val="1"/>
        <w:autoSpaceDN w:val="1"/>
      </w:pPr>
      <w:r>
        <w:rPr>
          <w:i w:val="1"/>
          <w:color w:val="auto"/>
          <w:position w:val="0"/>
          <w:sz w:val="24"/>
          <w:szCs w:val="24"/>
          <w:rFonts w:ascii="Times New Roman" w:eastAsia="Times New Roman" w:hAnsi="Times New Roman" w:hint="default"/>
        </w:rPr>
        <w:t xml:space="preserve">Introduction about Programs for </w:t>
      </w:r>
      <w:r>
        <w:rPr>
          <w:i w:val="1"/>
          <w:color w:val="auto"/>
          <w:position w:val="0"/>
          <w:sz w:val="24"/>
          <w:szCs w:val="24"/>
          <w:rFonts w:ascii="Times New Roman" w:eastAsia="宋体" w:hAnsi="宋体" w:hint="default"/>
        </w:rPr>
        <w:t>I</w:t>
      </w:r>
      <w:r>
        <w:rPr>
          <w:i w:val="1"/>
          <w:color w:val="auto"/>
          <w:position w:val="0"/>
          <w:sz w:val="24"/>
          <w:szCs w:val="24"/>
          <w:rFonts w:ascii="Times New Roman" w:eastAsia="Times New Roman" w:hAnsi="Times New Roman" w:hint="default"/>
        </w:rPr>
        <w:t xml:space="preserve">nternational </w:t>
      </w:r>
      <w:r>
        <w:rPr>
          <w:i w:val="1"/>
          <w:color w:val="auto"/>
          <w:position w:val="0"/>
          <w:sz w:val="24"/>
          <w:szCs w:val="24"/>
          <w:rFonts w:ascii="Times New Roman" w:eastAsia="宋体" w:hAnsi="宋体" w:hint="default"/>
        </w:rPr>
        <w:t>S</w:t>
      </w:r>
      <w:r>
        <w:rPr>
          <w:i w:val="1"/>
          <w:color w:val="auto"/>
          <w:position w:val="0"/>
          <w:sz w:val="24"/>
          <w:szCs w:val="24"/>
          <w:rFonts w:ascii="Times New Roman" w:eastAsia="Times New Roman" w:hAnsi="Times New Roman" w:hint="default"/>
        </w:rPr>
        <w:t xml:space="preserve">tudents </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numPr>
          <w:ilvl w:val="0"/>
          <w:numId w:val="0"/>
        </w:numPr>
        <w:jc w:val="center"/>
        <w:spacing w:lineRule="auto" w:line="360" w:before="0" w:after="0"/>
        <w:ind w:right="0" w:firstLine="0"/>
        <w:rPr>
          <w:b w:val="1"/>
          <w:color w:val="auto"/>
          <w:position w:val="0"/>
          <w:sz w:val="30"/>
          <w:szCs w:val="30"/>
          <w:rFonts w:ascii="Times New Roman" w:eastAsia="Times New Roman" w:hAnsi="Times New Roman" w:hint="default"/>
        </w:rPr>
        <w:autoSpaceDE w:val="1"/>
        <w:autoSpaceDN w:val="1"/>
      </w:pPr>
    </w:p>
    <w:p>
      <w:pPr>
        <w:numPr>
          <w:ilvl w:val="0"/>
          <w:numId w:val="0"/>
        </w:numPr>
        <w:jc w:val="center"/>
        <w:spacing w:lineRule="auto" w:line="360" w:before="0" w:after="0"/>
        <w:ind w:right="0" w:firstLine="0"/>
        <w:rPr>
          <w:b w:val="1"/>
          <w:color w:val="auto"/>
          <w:position w:val="0"/>
          <w:sz w:val="30"/>
          <w:szCs w:val="30"/>
          <w:rFonts w:ascii="Times New Roman" w:eastAsia="Times New Roman" w:hAnsi="Times New Roman" w:hint="default"/>
        </w:rPr>
        <w:autoSpaceDE w:val="1"/>
        <w:autoSpaceDN w:val="1"/>
      </w:pPr>
    </w:p>
    <w:p>
      <w:pPr>
        <w:numPr>
          <w:ilvl w:val="0"/>
          <w:numId w:val="0"/>
        </w:numPr>
        <w:jc w:val="center"/>
        <w:spacing w:lineRule="auto" w:line="360" w:before="0" w:after="0"/>
        <w:ind w:right="0" w:firstLine="0"/>
        <w:rPr>
          <w:b w:val="1"/>
          <w:color w:val="auto"/>
          <w:position w:val="0"/>
          <w:sz w:val="30"/>
          <w:szCs w:val="30"/>
          <w:rFonts w:ascii="Times New Roman" w:eastAsia="Times New Roman" w:hAnsi="Times New Roman" w:hint="default"/>
        </w:rPr>
        <w:autoSpaceDE w:val="1"/>
        <w:autoSpaceDN w:val="1"/>
      </w:pPr>
    </w:p>
    <w:p>
      <w:pPr>
        <w:numPr>
          <w:ilvl w:val="0"/>
          <w:numId w:val="0"/>
        </w:numPr>
        <w:jc w:val="center"/>
        <w:spacing w:lineRule="auto" w:line="360" w:before="0" w:after="0"/>
        <w:ind w:right="0" w:firstLine="0"/>
        <w:rPr>
          <w:b w:val="1"/>
          <w:color w:val="auto"/>
          <w:position w:val="0"/>
          <w:sz w:val="30"/>
          <w:szCs w:val="30"/>
          <w:rFonts w:ascii="Times New Roman" w:eastAsia="Times New Roman" w:hAnsi="Times New Roman" w:hint="default"/>
        </w:rPr>
        <w:autoSpaceDE w:val="1"/>
        <w:autoSpaceDN w:val="1"/>
      </w:pPr>
    </w:p>
    <w:p>
      <w:pPr>
        <w:numPr>
          <w:ilvl w:val="0"/>
          <w:numId w:val="0"/>
        </w:numPr>
        <w:jc w:val="center"/>
        <w:spacing w:lineRule="auto" w:line="360" w:before="0" w:after="0"/>
        <w:ind w:right="0" w:firstLine="0"/>
        <w:rPr>
          <w:b w:val="1"/>
          <w:color w:val="auto"/>
          <w:position w:val="0"/>
          <w:sz w:val="30"/>
          <w:szCs w:val="30"/>
          <w:rFonts w:ascii="Times New Roman" w:eastAsia="Times New Roman" w:hAnsi="Times New Roman" w:hint="default"/>
        </w:rPr>
        <w:autoSpaceDE w:val="1"/>
        <w:autoSpaceDN w:val="1"/>
      </w:pPr>
      <w:r>
        <w:rPr>
          <w:b w:val="1"/>
          <w:color w:val="auto"/>
          <w:position w:val="0"/>
          <w:sz w:val="30"/>
          <w:szCs w:val="30"/>
          <w:rFonts w:ascii="Times New Roman" w:eastAsia="Times New Roman" w:hAnsi="Times New Roman" w:hint="default"/>
        </w:rPr>
        <w:t xml:space="preserve">Introduction about Programs for </w:t>
      </w:r>
      <w:r>
        <w:rPr>
          <w:b w:val="1"/>
          <w:color w:val="auto"/>
          <w:position w:val="0"/>
          <w:sz w:val="30"/>
          <w:szCs w:val="30"/>
          <w:rFonts w:ascii="Times New Roman" w:eastAsia="宋体" w:hAnsi="宋体" w:hint="default"/>
        </w:rPr>
        <w:t>I</w:t>
      </w:r>
      <w:r>
        <w:rPr>
          <w:b w:val="1"/>
          <w:color w:val="auto"/>
          <w:position w:val="0"/>
          <w:sz w:val="30"/>
          <w:szCs w:val="30"/>
          <w:rFonts w:ascii="Times New Roman" w:eastAsia="Times New Roman" w:hAnsi="Times New Roman" w:hint="default"/>
        </w:rPr>
        <w:t xml:space="preserve">nternational </w:t>
      </w:r>
      <w:r>
        <w:rPr>
          <w:b w:val="1"/>
          <w:color w:val="auto"/>
          <w:position w:val="0"/>
          <w:sz w:val="30"/>
          <w:szCs w:val="30"/>
          <w:rFonts w:ascii="Times New Roman" w:eastAsia="宋体" w:hAnsi="宋体" w:hint="default"/>
        </w:rPr>
        <w:t>S</w:t>
      </w:r>
      <w:r>
        <w:rPr>
          <w:b w:val="1"/>
          <w:color w:val="auto"/>
          <w:position w:val="0"/>
          <w:sz w:val="30"/>
          <w:szCs w:val="30"/>
          <w:rFonts w:ascii="Times New Roman" w:eastAsia="Times New Roman" w:hAnsi="Times New Roman" w:hint="default"/>
        </w:rPr>
        <w:t xml:space="preserve">tudents </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bidi w:val="0"/>
        <w:numPr>
          <w:ilvl w:val="0"/>
          <w:numId w:val="16"/>
        </w:numPr>
        <w:jc w:val="both"/>
        <w:spacing w:lineRule="auto" w:line="360" w:before="0" w:after="0"/>
        <w:ind w:right="0" w:left="360" w:hanging="36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Automobile Applied Technology</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The program is part of the Automotive Engineering Department. The Department has </w:t>
      </w:r>
      <w:r>
        <w:rPr>
          <w:color w:val="auto"/>
          <w:position w:val="0"/>
          <w:sz w:val="24"/>
          <w:szCs w:val="24"/>
          <w:rFonts w:ascii="Times New Roman" w:eastAsia="Times New Roman" w:hAnsi="Times New Roman" w:hint="default"/>
        </w:rPr>
        <w:t xml:space="preserve">established a high level teacher-engineer faculty staff, consisting of full-time teachers, </w:t>
      </w:r>
      <w:r>
        <w:rPr>
          <w:color w:val="auto"/>
          <w:position w:val="0"/>
          <w:sz w:val="24"/>
          <w:szCs w:val="24"/>
          <w:rFonts w:ascii="Times New Roman" w:eastAsia="Times New Roman" w:hAnsi="Times New Roman" w:hint="default"/>
        </w:rPr>
        <w:t xml:space="preserve">trainers and maintenance technicians from famous enterprises. There are 95 teaching </w:t>
      </w:r>
      <w:r>
        <w:rPr>
          <w:color w:val="auto"/>
          <w:position w:val="0"/>
          <w:sz w:val="24"/>
          <w:szCs w:val="24"/>
          <w:rFonts w:ascii="Times New Roman" w:eastAsia="Times New Roman" w:hAnsi="Times New Roman" w:hint="default"/>
        </w:rPr>
        <w:t xml:space="preserve">staff, including 4 professors, 15 associate professors and senior engineers, 44 teacher-</w:t>
      </w:r>
      <w:r>
        <w:rPr>
          <w:color w:val="auto"/>
          <w:position w:val="0"/>
          <w:sz w:val="24"/>
          <w:szCs w:val="24"/>
          <w:rFonts w:ascii="Times New Roman" w:eastAsia="Times New Roman" w:hAnsi="Times New Roman" w:hint="default"/>
        </w:rPr>
        <w:t xml:space="preserve">engineers, 36 vehicle manufacture accredited trainers. It possesses the Key Sichuan </w:t>
      </w:r>
      <w:r>
        <w:rPr>
          <w:color w:val="auto"/>
          <w:position w:val="0"/>
          <w:sz w:val="24"/>
          <w:szCs w:val="24"/>
          <w:rFonts w:ascii="Times New Roman" w:eastAsia="Times New Roman" w:hAnsi="Times New Roman" w:hint="default"/>
        </w:rPr>
        <w:t xml:space="preserve">Universities Laboratory of Traffic Safety. It has established close partnership with 9 </w:t>
      </w:r>
      <w:r>
        <w:rPr>
          <w:color w:val="auto"/>
          <w:position w:val="0"/>
          <w:sz w:val="24"/>
          <w:szCs w:val="24"/>
          <w:rFonts w:ascii="Times New Roman" w:eastAsia="Times New Roman" w:hAnsi="Times New Roman" w:hint="default"/>
        </w:rPr>
        <w:t xml:space="preserve">global well-known international automobile brands, including BMW, Audi and so on, </w:t>
      </w:r>
      <w:r>
        <w:rPr>
          <w:color w:val="auto"/>
          <w:position w:val="0"/>
          <w:sz w:val="24"/>
          <w:szCs w:val="24"/>
          <w:rFonts w:ascii="Times New Roman" w:eastAsia="Times New Roman" w:hAnsi="Times New Roman" w:hint="default"/>
        </w:rPr>
        <w:t xml:space="preserve">and jointly built on-campus training bases, where the training vehicles and equipment </w:t>
      </w:r>
      <w:r>
        <w:rPr>
          <w:color w:val="auto"/>
          <w:position w:val="0"/>
          <w:sz w:val="24"/>
          <w:szCs w:val="24"/>
          <w:rFonts w:ascii="Times New Roman" w:eastAsia="Times New Roman" w:hAnsi="Times New Roman" w:hint="default"/>
        </w:rPr>
        <w:t xml:space="preserve">are kept updated with the market and students can learn the latest technology. </w:t>
      </w:r>
      <w:r>
        <w:rPr>
          <w:color w:val="auto"/>
          <w:position w:val="0"/>
          <w:sz w:val="24"/>
          <w:szCs w:val="24"/>
          <w:rFonts w:ascii="Times New Roman" w:eastAsia="Times New Roman" w:hAnsi="Times New Roman" w:hint="default"/>
        </w:rPr>
        <w:t xml:space="preserve">Training equipment and teaching facilities remain internationally advanced. </w:t>
      </w:r>
      <w:r>
        <w:rPr>
          <w:color w:val="auto"/>
          <w:position w:val="0"/>
          <w:sz w:val="24"/>
          <w:szCs w:val="24"/>
          <w:rFonts w:ascii="Times New Roman" w:eastAsia="Times New Roman" w:hAnsi="Times New Roman" w:hint="default"/>
        </w:rPr>
        <w:t xml:space="preserve">Automobile Applied Technology is a model program funded by the central </w:t>
      </w:r>
      <w:r>
        <w:rPr>
          <w:color w:val="auto"/>
          <w:position w:val="0"/>
          <w:sz w:val="24"/>
          <w:szCs w:val="24"/>
          <w:rFonts w:ascii="Times New Roman" w:eastAsia="Times New Roman" w:hAnsi="Times New Roman" w:hint="default"/>
        </w:rPr>
        <w:t xml:space="preserve">government, one of classic programs of the Ministry of Education.</w:t>
      </w: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Education Orientation:</w:t>
      </w: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Aiming at the car after-sales market, the program has established close cooperation </w:t>
      </w:r>
      <w:r>
        <w:rPr>
          <w:color w:val="auto"/>
          <w:position w:val="0"/>
          <w:sz w:val="24"/>
          <w:szCs w:val="24"/>
          <w:rFonts w:ascii="Times New Roman" w:eastAsia="Times New Roman" w:hAnsi="Times New Roman" w:hint="default"/>
        </w:rPr>
        <w:t xml:space="preserve">with TOYOTA, Audi, BMW, Volkswagen, FAW Volkswagen, Dongfeng Citroen, </w:t>
      </w:r>
      <w:r>
        <w:rPr>
          <w:color w:val="auto"/>
          <w:position w:val="0"/>
          <w:sz w:val="24"/>
          <w:szCs w:val="24"/>
          <w:rFonts w:ascii="Times New Roman" w:eastAsia="Times New Roman" w:hAnsi="Times New Roman" w:hint="default"/>
        </w:rPr>
        <w:t xml:space="preserve">Dongfeng Peugeot, Dongfeng Honda, Dongfeng Nissan and other world-renowned </w:t>
      </w:r>
      <w:r>
        <w:rPr>
          <w:color w:val="auto"/>
          <w:position w:val="0"/>
          <w:sz w:val="24"/>
          <w:szCs w:val="24"/>
          <w:rFonts w:ascii="Times New Roman" w:eastAsia="Times New Roman" w:hAnsi="Times New Roman" w:hint="default"/>
        </w:rPr>
        <w:t xml:space="preserve">high-end automobile manufacturers, training job-ready students of high-quality who </w:t>
      </w:r>
      <w:r>
        <w:rPr>
          <w:color w:val="auto"/>
          <w:position w:val="0"/>
          <w:sz w:val="24"/>
          <w:szCs w:val="24"/>
          <w:rFonts w:ascii="Times New Roman" w:eastAsia="Times New Roman" w:hAnsi="Times New Roman" w:hint="default"/>
        </w:rPr>
        <w:t xml:space="preserve">have the essential expertise in automobile maintenance and are skilled at automotive </w:t>
      </w:r>
      <w:r>
        <w:rPr>
          <w:color w:val="auto"/>
          <w:position w:val="0"/>
          <w:sz w:val="24"/>
          <w:szCs w:val="24"/>
          <w:rFonts w:ascii="Times New Roman" w:eastAsia="Times New Roman" w:hAnsi="Times New Roman" w:hint="default"/>
        </w:rPr>
        <w:t xml:space="preserve">electrical and mechanical maintenance, troubleshooting maintenance reception, etc.</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Employment Orientation: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The graduates obtain middle and high level qualifications for vehicle maintenance, </w:t>
      </w:r>
      <w:r>
        <w:rPr>
          <w:color w:val="auto"/>
          <w:position w:val="0"/>
          <w:sz w:val="24"/>
          <w:szCs w:val="24"/>
          <w:rFonts w:ascii="Times New Roman" w:eastAsia="Times New Roman" w:hAnsi="Times New Roman" w:hint="default"/>
        </w:rPr>
        <w:t xml:space="preserve">and fit for the jobs in automotive electromechanical maintenance, vehicle </w:t>
      </w:r>
      <w:r>
        <w:rPr>
          <w:color w:val="auto"/>
          <w:position w:val="0"/>
          <w:sz w:val="24"/>
          <w:szCs w:val="24"/>
          <w:rFonts w:ascii="Times New Roman" w:eastAsia="Times New Roman" w:hAnsi="Times New Roman" w:hint="default"/>
        </w:rPr>
        <w:t xml:space="preserve">maintenance reception, auto parts management, teacher-engineers in vocational </w:t>
      </w:r>
      <w:r>
        <w:rPr>
          <w:color w:val="auto"/>
          <w:position w:val="0"/>
          <w:sz w:val="24"/>
          <w:szCs w:val="24"/>
          <w:rFonts w:ascii="Times New Roman" w:eastAsia="Times New Roman" w:hAnsi="Times New Roman" w:hint="default"/>
        </w:rPr>
        <w:t xml:space="preserve">college, production and operation management of automobile maintenance enterprises, </w:t>
      </w:r>
      <w:r>
        <w:rPr>
          <w:color w:val="auto"/>
          <w:position w:val="0"/>
          <w:sz w:val="24"/>
          <w:szCs w:val="24"/>
          <w:rFonts w:ascii="Times New Roman" w:eastAsia="Times New Roman" w:hAnsi="Times New Roman" w:hint="default"/>
        </w:rPr>
        <w:t xml:space="preserve">etc. The employment targets at the position of senior technician and middle and high </w:t>
      </w:r>
      <w:r>
        <w:rPr>
          <w:color w:val="auto"/>
          <w:position w:val="0"/>
          <w:sz w:val="24"/>
          <w:szCs w:val="24"/>
          <w:rFonts w:ascii="Times New Roman" w:eastAsia="Times New Roman" w:hAnsi="Times New Roman" w:hint="default"/>
        </w:rPr>
        <w:t xml:space="preserve">level management in the sector of automobile maintenance industries.</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bidi w:val="0"/>
        <w:numPr>
          <w:ilvl w:val="0"/>
          <w:numId w:val="16"/>
        </w:numPr>
        <w:jc w:val="both"/>
        <w:spacing w:lineRule="auto" w:line="360" w:before="0" w:after="0"/>
        <w:ind w:right="0" w:left="360" w:hanging="36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Project </w:t>
      </w:r>
      <w:r>
        <w:rPr>
          <w:b w:val="1"/>
          <w:color w:val="auto"/>
          <w:position w:val="0"/>
          <w:sz w:val="24"/>
          <w:szCs w:val="24"/>
          <w:rFonts w:ascii="Times New Roman" w:eastAsia="宋体" w:hAnsi="宋体" w:hint="default"/>
        </w:rPr>
        <w:t>C</w:t>
      </w:r>
      <w:r>
        <w:rPr>
          <w:b w:val="1"/>
          <w:color w:val="auto"/>
          <w:position w:val="0"/>
          <w:sz w:val="24"/>
          <w:szCs w:val="24"/>
          <w:rFonts w:ascii="Times New Roman" w:eastAsia="Times New Roman" w:hAnsi="Times New Roman" w:hint="default"/>
        </w:rPr>
        <w:t>ost</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The program is subordinate to the Department of Architectural Engineering. There are </w:t>
      </w:r>
      <w:r>
        <w:rPr>
          <w:color w:val="auto"/>
          <w:position w:val="0"/>
          <w:sz w:val="24"/>
          <w:szCs w:val="24"/>
          <w:rFonts w:ascii="Times New Roman" w:eastAsia="Times New Roman" w:hAnsi="Times New Roman" w:hint="default"/>
        </w:rPr>
        <w:t xml:space="preserve">53 faculty members and 38 full-time teachers, including 10 professors, associate </w:t>
      </w:r>
      <w:r>
        <w:rPr>
          <w:color w:val="auto"/>
          <w:position w:val="0"/>
          <w:sz w:val="24"/>
          <w:szCs w:val="24"/>
          <w:rFonts w:ascii="Times New Roman" w:eastAsia="Times New Roman" w:hAnsi="Times New Roman" w:hint="default"/>
        </w:rPr>
        <w:t xml:space="preserve">professors and senior engineers, 20 lecturers and engineers, 16 teachers with master </w:t>
      </w:r>
      <w:r>
        <w:rPr>
          <w:color w:val="auto"/>
          <w:position w:val="0"/>
          <w:sz w:val="24"/>
          <w:szCs w:val="24"/>
          <w:rFonts w:ascii="Times New Roman" w:eastAsia="Times New Roman" w:hAnsi="Times New Roman" w:hint="default"/>
        </w:rPr>
        <w:t xml:space="preserve">degree. Teachers are excellent at teaching and scientific research, some of whom have </w:t>
      </w:r>
      <w:r>
        <w:rPr>
          <w:color w:val="auto"/>
          <w:position w:val="0"/>
          <w:sz w:val="24"/>
          <w:szCs w:val="24"/>
          <w:rFonts w:ascii="Times New Roman" w:eastAsia="Times New Roman" w:hAnsi="Times New Roman" w:hint="default"/>
        </w:rPr>
        <w:t xml:space="preserve">obtained nationally-registered qualification. It has established close partnership with </w:t>
      </w:r>
      <w:r>
        <w:rPr>
          <w:color w:val="auto"/>
          <w:position w:val="0"/>
          <w:sz w:val="24"/>
          <w:szCs w:val="24"/>
          <w:rFonts w:ascii="Times New Roman" w:eastAsia="Times New Roman" w:hAnsi="Times New Roman" w:hint="default"/>
        </w:rPr>
        <w:t xml:space="preserve">industries, employing about 60 professionals from enterprises. There are about 1700 </w:t>
      </w:r>
      <w:r>
        <w:rPr>
          <w:color w:val="auto"/>
          <w:position w:val="0"/>
          <w:sz w:val="24"/>
          <w:szCs w:val="24"/>
          <w:rFonts w:ascii="Times New Roman" w:eastAsia="Times New Roman" w:hAnsi="Times New Roman" w:hint="default"/>
        </w:rPr>
        <w:t xml:space="preserve">students enrolled at present.</w:t>
      </w: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Education Orientation: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The program targets at training professionals of high-quality who are engaged in </w:t>
      </w:r>
      <w:r>
        <w:rPr>
          <w:color w:val="auto"/>
          <w:position w:val="0"/>
          <w:sz w:val="24"/>
          <w:szCs w:val="24"/>
          <w:rFonts w:ascii="Times New Roman" w:eastAsia="Times New Roman" w:hAnsi="Times New Roman" w:hint="default"/>
        </w:rPr>
        <w:t xml:space="preserve">project cost management, contract management, data management, and skilled at </w:t>
      </w:r>
      <w:r>
        <w:rPr>
          <w:color w:val="auto"/>
          <w:position w:val="0"/>
          <w:sz w:val="24"/>
          <w:szCs w:val="24"/>
          <w:rFonts w:ascii="Times New Roman" w:eastAsia="Times New Roman" w:hAnsi="Times New Roman" w:hint="default"/>
        </w:rPr>
        <w:t xml:space="preserve">compiling and examining bidding and tender documents and other technical </w:t>
      </w:r>
      <w:r>
        <w:rPr>
          <w:color w:val="auto"/>
          <w:position w:val="0"/>
          <w:sz w:val="24"/>
          <w:szCs w:val="24"/>
          <w:rFonts w:ascii="Times New Roman" w:eastAsia="Times New Roman" w:hAnsi="Times New Roman" w:hint="default"/>
        </w:rPr>
        <w:t xml:space="preserve">documents associated with project cost. The graduates obtain qualifications of the </w:t>
      </w:r>
      <w:r>
        <w:rPr>
          <w:color w:val="auto"/>
          <w:position w:val="0"/>
          <w:sz w:val="24"/>
          <w:szCs w:val="24"/>
          <w:rFonts w:ascii="Times New Roman" w:eastAsia="Times New Roman" w:hAnsi="Times New Roman" w:hint="default"/>
        </w:rPr>
        <w:t xml:space="preserve">budgeter and the cost member.</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Employment Orientation: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Graduates are job-ready for project cost consulting companies, construction </w:t>
      </w:r>
      <w:r>
        <w:rPr>
          <w:color w:val="auto"/>
          <w:position w:val="0"/>
          <w:sz w:val="24"/>
          <w:szCs w:val="24"/>
          <w:rFonts w:ascii="Times New Roman" w:eastAsia="Times New Roman" w:hAnsi="Times New Roman" w:hint="default"/>
        </w:rPr>
        <w:t xml:space="preserve">companies, real estate development companies, project supervision companies, </w:t>
      </w:r>
      <w:r>
        <w:rPr>
          <w:color w:val="auto"/>
          <w:position w:val="0"/>
          <w:sz w:val="24"/>
          <w:szCs w:val="24"/>
          <w:rFonts w:ascii="Times New Roman" w:eastAsia="Times New Roman" w:hAnsi="Times New Roman" w:hint="default"/>
        </w:rPr>
        <w:t xml:space="preserve">accounting firms, various enterprises and institutions, and government departments.</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bidi w:val="0"/>
        <w:numPr>
          <w:ilvl w:val="0"/>
          <w:numId w:val="16"/>
        </w:numPr>
        <w:jc w:val="both"/>
        <w:spacing w:lineRule="auto" w:line="360" w:before="0" w:after="0"/>
        <w:ind w:right="0" w:left="360" w:hanging="36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Electronic and Information Engineering Technology</w:t>
      </w:r>
    </w:p>
    <w:p>
      <w:pPr>
        <w:numPr>
          <w:ilvl w:val="0"/>
          <w:numId w:val="0"/>
        </w:numPr>
        <w:jc w:val="both"/>
        <w:spacing w:lineRule="auto" w:line="360" w:before="0" w:after="0"/>
        <w:ind w:right="0" w:firstLine="0"/>
        <w:rPr>
          <w:color w:val="auto"/>
          <w:position w:val="0"/>
          <w:sz w:val="24"/>
          <w:szCs w:val="24"/>
          <w:rFonts w:ascii="Times New Roman" w:eastAsia="宋体" w:hAnsi="宋体" w:hint="default"/>
        </w:rPr>
        <w:autoSpaceDE w:val="1"/>
        <w:autoSpaceDN w:val="1"/>
      </w:pPr>
      <w:r>
        <w:rPr>
          <w:color w:val="auto"/>
          <w:position w:val="0"/>
          <w:sz w:val="24"/>
          <w:szCs w:val="24"/>
          <w:rFonts w:ascii="Times New Roman" w:eastAsia="Times New Roman" w:hAnsi="Times New Roman" w:hint="default"/>
        </w:rPr>
        <w:t xml:space="preserve">The program is subordinate to the Department of Information Engineering. There are </w:t>
      </w:r>
      <w:r>
        <w:rPr>
          <w:color w:val="auto"/>
          <w:position w:val="0"/>
          <w:sz w:val="24"/>
          <w:szCs w:val="24"/>
          <w:rFonts w:ascii="Times New Roman" w:eastAsia="Times New Roman" w:hAnsi="Times New Roman" w:hint="default"/>
        </w:rPr>
        <w:t xml:space="preserve">52 faculty members, 6 foreign teachers, 32 full-time teachers and 16 part-time </w:t>
      </w:r>
      <w:r>
        <w:rPr>
          <w:color w:val="auto"/>
          <w:position w:val="0"/>
          <w:sz w:val="24"/>
          <w:szCs w:val="24"/>
          <w:rFonts w:ascii="Times New Roman" w:eastAsia="Times New Roman" w:hAnsi="Times New Roman" w:hint="default"/>
        </w:rPr>
        <w:t xml:space="preserve">teachers, including 26 professors and associate professors, 14 lecturers, 4 doctoral </w:t>
      </w:r>
      <w:r>
        <w:rPr>
          <w:color w:val="auto"/>
          <w:position w:val="0"/>
          <w:sz w:val="24"/>
          <w:szCs w:val="24"/>
          <w:rFonts w:ascii="Times New Roman" w:eastAsia="Times New Roman" w:hAnsi="Times New Roman" w:hint="default"/>
        </w:rPr>
        <w:t xml:space="preserve">candidates, 38 masters, 1 national teaching master, and 1 provincial-level teaching </w:t>
      </w:r>
      <w:r>
        <w:rPr>
          <w:color w:val="auto"/>
          <w:position w:val="0"/>
          <w:sz w:val="24"/>
          <w:szCs w:val="24"/>
          <w:rFonts w:ascii="Times New Roman" w:eastAsia="Times New Roman" w:hAnsi="Times New Roman" w:hint="default"/>
        </w:rPr>
        <w:t xml:space="preserve">team. </w:t>
      </w: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Education Orientation: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Having established close cooperation with well-known enterprises, including Intel, </w:t>
      </w:r>
      <w:r>
        <w:rPr>
          <w:color w:val="auto"/>
          <w:position w:val="0"/>
          <w:sz w:val="24"/>
          <w:szCs w:val="24"/>
          <w:rFonts w:ascii="Times New Roman" w:eastAsia="Times New Roman" w:hAnsi="Times New Roman" w:hint="default"/>
        </w:rPr>
        <w:t xml:space="preserve">Speed-tech electronics, Shenzhen QPS etc., the program focuses on training </w:t>
      </w:r>
      <w:r>
        <w:rPr>
          <w:color w:val="auto"/>
          <w:position w:val="0"/>
          <w:sz w:val="24"/>
          <w:szCs w:val="24"/>
          <w:rFonts w:ascii="Times New Roman" w:eastAsia="Times New Roman" w:hAnsi="Times New Roman" w:hint="default"/>
        </w:rPr>
        <w:t xml:space="preserve">professionals who are skilled at embedded system and information processing, </w:t>
      </w:r>
      <w:r>
        <w:rPr>
          <w:color w:val="auto"/>
          <w:position w:val="0"/>
          <w:sz w:val="24"/>
          <w:szCs w:val="24"/>
          <w:rFonts w:ascii="Times New Roman" w:eastAsia="Times New Roman" w:hAnsi="Times New Roman" w:hint="default"/>
        </w:rPr>
        <w:t xml:space="preserve">business management, product marketing, and fit for the jobs in the sector of </w:t>
      </w:r>
      <w:r>
        <w:rPr>
          <w:color w:val="auto"/>
          <w:position w:val="0"/>
          <w:sz w:val="24"/>
          <w:szCs w:val="24"/>
          <w:rFonts w:ascii="Times New Roman" w:eastAsia="Times New Roman" w:hAnsi="Times New Roman" w:hint="default"/>
        </w:rPr>
        <w:t xml:space="preserve">electronic information related to research and development, assistance to R &amp; D, </w:t>
      </w:r>
      <w:r>
        <w:rPr>
          <w:color w:val="auto"/>
          <w:position w:val="0"/>
          <w:sz w:val="24"/>
          <w:szCs w:val="24"/>
          <w:rFonts w:ascii="Times New Roman" w:eastAsia="Times New Roman" w:hAnsi="Times New Roman" w:hint="default"/>
        </w:rPr>
        <w:t xml:space="preserve">product management, equipment maintenance, quality control, technical support, </w:t>
      </w:r>
      <w:r>
        <w:rPr>
          <w:color w:val="auto"/>
          <w:position w:val="0"/>
          <w:sz w:val="24"/>
          <w:szCs w:val="24"/>
          <w:rFonts w:ascii="Times New Roman" w:eastAsia="Times New Roman" w:hAnsi="Times New Roman" w:hint="default"/>
        </w:rPr>
        <w:t xml:space="preserve">marketing, etc.</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Employment Orientation: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Graduates primarily work in electronic product design and manufacturing enterprises, </w:t>
      </w:r>
      <w:r>
        <w:rPr>
          <w:color w:val="auto"/>
          <w:position w:val="0"/>
          <w:sz w:val="24"/>
          <w:szCs w:val="24"/>
          <w:rFonts w:ascii="Times New Roman" w:eastAsia="Times New Roman" w:hAnsi="Times New Roman" w:hint="default"/>
        </w:rPr>
        <w:t xml:space="preserve">engaging in electronic development product testing, product promotion, project </w:t>
      </w:r>
      <w:r>
        <w:rPr>
          <w:color w:val="auto"/>
          <w:position w:val="0"/>
          <w:sz w:val="24"/>
          <w:szCs w:val="24"/>
          <w:rFonts w:ascii="Times New Roman" w:eastAsia="Times New Roman" w:hAnsi="Times New Roman" w:hint="default"/>
        </w:rPr>
        <w:t xml:space="preserve">management, production management, quality control, process management and </w:t>
      </w:r>
      <w:r>
        <w:rPr>
          <w:color w:val="auto"/>
          <w:position w:val="0"/>
          <w:sz w:val="24"/>
          <w:szCs w:val="24"/>
          <w:rFonts w:ascii="Times New Roman" w:eastAsia="Times New Roman" w:hAnsi="Times New Roman" w:hint="default"/>
        </w:rPr>
        <w:t xml:space="preserve">training, technical support, after-sales service and so 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p>
    <w:p>
      <w:pPr>
        <w:bidi w:val="0"/>
        <w:numPr>
          <w:ilvl w:val="0"/>
          <w:numId w:val="16"/>
        </w:numPr>
        <w:jc w:val="both"/>
        <w:spacing w:lineRule="auto" w:line="360" w:before="0" w:after="0"/>
        <w:ind w:right="0" w:left="360" w:hanging="36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Logistics and Management</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The program is part of the Department of Transportation Engineering. There are about </w:t>
      </w:r>
      <w:r>
        <w:rPr>
          <w:color w:val="auto"/>
          <w:position w:val="0"/>
          <w:sz w:val="24"/>
          <w:szCs w:val="24"/>
          <w:rFonts w:ascii="Times New Roman" w:eastAsia="Times New Roman" w:hAnsi="Times New Roman" w:hint="default"/>
        </w:rPr>
        <w:t xml:space="preserve">30 faculty members and 20 part-time teachers, including 5 professors, 9 associate </w:t>
      </w:r>
      <w:r>
        <w:rPr>
          <w:color w:val="auto"/>
          <w:position w:val="0"/>
          <w:sz w:val="24"/>
          <w:szCs w:val="24"/>
          <w:rFonts w:ascii="Times New Roman" w:eastAsia="Times New Roman" w:hAnsi="Times New Roman" w:hint="default"/>
        </w:rPr>
        <w:t xml:space="preserve">professors, 5 Ph.D., 19 masters, and 100% teacher-engineers. The program is one of </w:t>
      </w:r>
      <w:r>
        <w:rPr>
          <w:color w:val="auto"/>
          <w:position w:val="0"/>
          <w:sz w:val="24"/>
          <w:szCs w:val="24"/>
          <w:rFonts w:ascii="Times New Roman" w:eastAsia="Times New Roman" w:hAnsi="Times New Roman" w:hint="default"/>
        </w:rPr>
        <w:t xml:space="preserve">the provincial classical programs, and model program funded by the provincial </w:t>
      </w:r>
      <w:r>
        <w:rPr>
          <w:color w:val="auto"/>
          <w:position w:val="0"/>
          <w:sz w:val="24"/>
          <w:szCs w:val="24"/>
          <w:rFonts w:ascii="Times New Roman" w:eastAsia="Times New Roman" w:hAnsi="Times New Roman" w:hint="default"/>
        </w:rPr>
        <w:t xml:space="preserve">government. There are about 700 students enrolled at present.</w:t>
      </w:r>
    </w:p>
    <w:p>
      <w:pPr>
        <w:numPr>
          <w:ilvl w:val="0"/>
          <w:numId w:val="0"/>
        </w:numPr>
        <w:jc w:val="both"/>
        <w:spacing w:lineRule="auto" w:line="36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Education Orientation: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Closely associated with the reality and development of logistics industry, the program </w:t>
      </w:r>
      <w:r>
        <w:rPr>
          <w:color w:val="auto"/>
          <w:position w:val="0"/>
          <w:sz w:val="24"/>
          <w:szCs w:val="24"/>
          <w:rFonts w:ascii="Times New Roman" w:eastAsia="Times New Roman" w:hAnsi="Times New Roman" w:hint="default"/>
        </w:rPr>
        <w:t xml:space="preserve">targets at training professional who are familiar with relevant laws and regulations, </w:t>
      </w:r>
      <w:r>
        <w:rPr>
          <w:color w:val="auto"/>
          <w:position w:val="0"/>
          <w:sz w:val="24"/>
          <w:szCs w:val="24"/>
          <w:rFonts w:ascii="Times New Roman" w:eastAsia="Times New Roman" w:hAnsi="Times New Roman" w:hint="default"/>
        </w:rPr>
        <w:t xml:space="preserve">mastering the basic theories, knowledge, methods, techniques and skills of logistics </w:t>
      </w:r>
      <w:r>
        <w:rPr>
          <w:color w:val="auto"/>
          <w:position w:val="0"/>
          <w:sz w:val="24"/>
          <w:szCs w:val="24"/>
          <w:rFonts w:ascii="Times New Roman" w:eastAsia="Times New Roman" w:hAnsi="Times New Roman" w:hint="default"/>
        </w:rPr>
        <w:t xml:space="preserve">management, and fit for the jobs related to operation and management of logistics </w:t>
      </w:r>
      <w:r>
        <w:rPr>
          <w:color w:val="auto"/>
          <w:position w:val="0"/>
          <w:sz w:val="24"/>
          <w:szCs w:val="24"/>
          <w:rFonts w:ascii="Times New Roman" w:eastAsia="Times New Roman" w:hAnsi="Times New Roman" w:hint="default"/>
        </w:rPr>
        <w:t xml:space="preserve">enterprises and business enterprise, logistics operation management, etc.</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Times New Roman" w:hAnsi="Times New Roman" w:hint="default"/>
        </w:rPr>
        <w:t xml:space="preserve">Employment Orientation:</w:t>
      </w:r>
    </w:p>
    <w:p>
      <w:pPr>
        <w:numPr>
          <w:ilvl w:val="0"/>
          <w:numId w:val="0"/>
        </w:numPr>
        <w:jc w:val="both"/>
        <w:spacing w:lineRule="auto" w:line="360" w:before="0" w:after="0"/>
        <w:ind w:right="0" w:firstLine="0"/>
        <w:rPr>
          <w:color w:val="auto"/>
          <w:position w:val="0"/>
          <w:sz w:val="24"/>
          <w:szCs w:val="24"/>
          <w:rFonts w:ascii="Times New Roman" w:eastAsia="Times New Roman" w:hAnsi="Times New Roman" w:hint="default"/>
        </w:rPr>
        <w:autoSpaceDE w:val="1"/>
        <w:autoSpaceDN w:val="1"/>
      </w:pPr>
      <w:r>
        <w:rPr>
          <w:color w:val="auto"/>
          <w:position w:val="0"/>
          <w:sz w:val="24"/>
          <w:szCs w:val="24"/>
          <w:rFonts w:ascii="Times New Roman" w:eastAsia="Times New Roman" w:hAnsi="Times New Roman" w:hint="default"/>
        </w:rPr>
        <w:t xml:space="preserve">Graduates are job-ready for logistics enterprises or logistics department of production </w:t>
      </w:r>
      <w:r>
        <w:rPr>
          <w:color w:val="auto"/>
          <w:position w:val="0"/>
          <w:sz w:val="24"/>
          <w:szCs w:val="24"/>
          <w:rFonts w:ascii="Times New Roman" w:eastAsia="Times New Roman" w:hAnsi="Times New Roman" w:hint="default"/>
        </w:rPr>
        <w:t xml:space="preserve">entities, engaging in logistics business development, commodity procurement, goods </w:t>
      </w:r>
      <w:r>
        <w:rPr>
          <w:color w:val="auto"/>
          <w:position w:val="0"/>
          <w:sz w:val="24"/>
          <w:szCs w:val="24"/>
          <w:rFonts w:ascii="Times New Roman" w:eastAsia="Times New Roman" w:hAnsi="Times New Roman" w:hint="default"/>
        </w:rPr>
        <w:t xml:space="preserve">storage management, freight transport organization, freight distribution, customer </w:t>
      </w:r>
      <w:r>
        <w:rPr>
          <w:color w:val="auto"/>
          <w:position w:val="0"/>
          <w:sz w:val="24"/>
          <w:szCs w:val="24"/>
          <w:rFonts w:ascii="Times New Roman" w:eastAsia="Times New Roman" w:hAnsi="Times New Roman" w:hint="default"/>
        </w:rPr>
        <w:t xml:space="preserve">service and so on.</w:t>
      </w:r>
    </w:p>
    <w:sectPr>
      <w:pgSz w:w="11906" w:h="16838"/>
      <w:pgMar w:top="1440" w:left="1800" w:bottom="1440" w:right="1800" w:header="851" w:footer="992" w:gutter="0"/>
      <w:pgNumType w:fmt="decimal"/>
      <w:docGrid w:type="lines" w:linePitch="312" w:charSpace="0"/>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ˎ̥">
    <w:panose1 w:val="020F0502020204030204"/>
    <w:charset w:val="0"/>
    <w:family w:val="mordern"/>
    <w:pitch w:val="variable"/>
    <w:sig w:usb0="A00002EF" w:usb1="4000207B" w:usb2="00000000" w:usb3="00000000" w:csb0="FFFFFFFF" w:csb1="00000000"/>
  </w:font>
  <w:font w:name="黑体">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w:abstractNum w:abstractNumId="0">
    <w:multiLevelType w:val="hybridMultilevel"/>
    <w:nsid w:val="2F000000"/>
    <w:tmpl w:val="1F000014"/>
    <w:lvl w:ilvl="0">
      <w:lvlJc w:val="left"/>
      <w:numFmt w:val="bullet"/>
      <w:start w:val="1"/>
      <w:suff w:val="tab"/>
      <w:pPr>
        <w:ind w:left="980" w:hanging="420"/>
        <w:jc w:val="both"/>
        <w:tabs>
          <w:tab w:val="left" w:pos="980"/>
        </w:tabs>
      </w:pPr>
      <w:rPr>
        <w:rFonts w:ascii="Wingdings" w:eastAsia="Wingdings" w:hAnsi="Wingdings"/>
        <w:shd w:val="clear"/>
        <w:sz w:val="20"/>
        <w:szCs w:val="20"/>
        <w:w w:val="100"/>
      </w:rPr>
      <w:lvlText w:val="l"/>
    </w:lvl>
    <w:lvl w:ilvl="1">
      <w:lvlJc w:val="left"/>
      <w:numFmt w:val="bullet"/>
      <w:start w:val="1"/>
      <w:suff w:val="tab"/>
      <w:pPr>
        <w:ind w:left="1400" w:hanging="420"/>
        <w:jc w:val="both"/>
        <w:tabs>
          <w:tab w:val="left" w:pos="1400"/>
        </w:tabs>
      </w:pPr>
      <w:rPr>
        <w:rFonts w:ascii="Wingdings" w:eastAsia="Wingdings" w:hAnsi="Wingdings"/>
        <w:shd w:val="clear"/>
        <w:sz w:val="20"/>
        <w:szCs w:val="20"/>
        <w:w w:val="100"/>
      </w:rPr>
      <w:lvlText w:val="n"/>
    </w:lvl>
    <w:lvl w:ilvl="2">
      <w:lvlJc w:val="left"/>
      <w:numFmt w:val="bullet"/>
      <w:start w:val="1"/>
      <w:suff w:val="tab"/>
      <w:pPr>
        <w:ind w:left="1820" w:hanging="420"/>
        <w:jc w:val="both"/>
        <w:tabs>
          <w:tab w:val="left" w:pos="1820"/>
        </w:tabs>
      </w:pPr>
      <w:rPr>
        <w:rFonts w:ascii="Wingdings" w:eastAsia="Wingdings" w:hAnsi="Wingdings"/>
        <w:shd w:val="clear"/>
        <w:sz w:val="20"/>
        <w:szCs w:val="20"/>
        <w:w w:val="100"/>
      </w:rPr>
      <w:lvlText w:val="u"/>
    </w:lvl>
    <w:lvl w:ilvl="3">
      <w:lvlJc w:val="left"/>
      <w:numFmt w:val="bullet"/>
      <w:start w:val="1"/>
      <w:suff w:val="tab"/>
      <w:pPr>
        <w:ind w:left="2240" w:hanging="420"/>
        <w:jc w:val="both"/>
        <w:tabs>
          <w:tab w:val="left" w:pos="2240"/>
        </w:tabs>
      </w:pPr>
      <w:rPr>
        <w:rFonts w:ascii="Wingdings" w:eastAsia="Wingdings" w:hAnsi="Wingdings"/>
        <w:shd w:val="clear"/>
        <w:sz w:val="20"/>
        <w:szCs w:val="20"/>
        <w:w w:val="100"/>
      </w:rPr>
      <w:lvlText w:val="l"/>
    </w:lvl>
    <w:lvl w:ilvl="4">
      <w:lvlJc w:val="left"/>
      <w:numFmt w:val="bullet"/>
      <w:start w:val="1"/>
      <w:suff w:val="tab"/>
      <w:pPr>
        <w:ind w:left="2660" w:hanging="420"/>
        <w:jc w:val="both"/>
        <w:tabs>
          <w:tab w:val="left" w:pos="2660"/>
        </w:tabs>
      </w:pPr>
      <w:rPr>
        <w:rFonts w:ascii="Wingdings" w:eastAsia="Wingdings" w:hAnsi="Wingdings"/>
        <w:shd w:val="clear"/>
        <w:sz w:val="20"/>
        <w:szCs w:val="20"/>
        <w:w w:val="100"/>
      </w:rPr>
      <w:lvlText w:val="n"/>
    </w:lvl>
    <w:lvl w:ilvl="5">
      <w:lvlJc w:val="left"/>
      <w:numFmt w:val="bullet"/>
      <w:start w:val="1"/>
      <w:suff w:val="tab"/>
      <w:pPr>
        <w:ind w:left="3080" w:hanging="420"/>
        <w:jc w:val="both"/>
        <w:tabs>
          <w:tab w:val="left" w:pos="3080"/>
        </w:tabs>
      </w:pPr>
      <w:rPr>
        <w:rFonts w:ascii="Wingdings" w:eastAsia="Wingdings" w:hAnsi="Wingdings"/>
        <w:shd w:val="clear"/>
        <w:sz w:val="20"/>
        <w:szCs w:val="20"/>
        <w:w w:val="100"/>
      </w:rPr>
      <w:lvlText w:val="u"/>
    </w:lvl>
    <w:lvl w:ilvl="6">
      <w:lvlJc w:val="left"/>
      <w:numFmt w:val="bullet"/>
      <w:start w:val="1"/>
      <w:suff w:val="tab"/>
      <w:pPr>
        <w:ind w:left="3500" w:hanging="420"/>
        <w:jc w:val="both"/>
        <w:tabs>
          <w:tab w:val="left" w:pos="3500"/>
        </w:tabs>
      </w:pPr>
      <w:rPr>
        <w:rFonts w:ascii="Wingdings" w:eastAsia="Wingdings" w:hAnsi="Wingdings"/>
        <w:shd w:val="clear"/>
        <w:sz w:val="20"/>
        <w:szCs w:val="20"/>
        <w:w w:val="100"/>
      </w:rPr>
      <w:lvlText w:val="l"/>
    </w:lvl>
    <w:lvl w:ilvl="7">
      <w:lvlJc w:val="left"/>
      <w:numFmt w:val="bullet"/>
      <w:start w:val="1"/>
      <w:suff w:val="tab"/>
      <w:pPr>
        <w:ind w:left="3920" w:hanging="420"/>
        <w:jc w:val="both"/>
        <w:tabs>
          <w:tab w:val="left" w:pos="3920"/>
        </w:tabs>
      </w:pPr>
      <w:rPr>
        <w:rFonts w:ascii="Wingdings" w:eastAsia="Wingdings" w:hAnsi="Wingdings"/>
        <w:shd w:val="clear"/>
        <w:sz w:val="20"/>
        <w:szCs w:val="20"/>
        <w:w w:val="100"/>
      </w:rPr>
      <w:lvlText w:val="n"/>
    </w:lvl>
    <w:lvl w:ilvl="8">
      <w:lvlJc w:val="left"/>
      <w:numFmt w:val="bullet"/>
      <w:start w:val="1"/>
      <w:suff w:val="tab"/>
      <w:pPr>
        <w:ind w:left="4340" w:hanging="420"/>
        <w:jc w:val="both"/>
        <w:tabs>
          <w:tab w:val="left" w:pos="4340"/>
        </w:tabs>
      </w:pPr>
      <w:rPr>
        <w:rFonts w:ascii="Wingdings" w:eastAsia="Wingdings" w:hAnsi="Wingdings"/>
        <w:shd w:val="clear"/>
        <w:sz w:val="20"/>
        <w:szCs w:val="20"/>
        <w:w w:val="100"/>
      </w:rPr>
      <w:lvlText w:val="u"/>
    </w:lvl>
  </w:abstractNum>
  <w:abstractNum w:abstractNumId="1">
    <w:multiLevelType w:val="hybridMultilevel"/>
    <w:nsid w:val="2F000001"/>
    <w:tmpl w:val="1F002411"/>
    <w:lvl w:ilvl="0">
      <w:lvlJc w:val="left"/>
      <w:numFmt w:val="decimal"/>
      <w:start w:val="1"/>
      <w:suff w:val="tab"/>
      <w:pPr>
        <w:ind w:left="360" w:hanging="360"/>
        <w:jc w:val="both"/>
      </w:pPr>
      <w:rPr>
        <w:shd w:val="clear"/>
        <w:sz w:val="20"/>
        <w:szCs w:val="20"/>
        <w:w w:val="100"/>
      </w:rPr>
      <w:lvlText w:val="%1."/>
    </w:lvl>
    <w:lvl w:ilvl="1">
      <w:lvlJc w:val="left"/>
      <w:numFmt w:val="lowerLetter"/>
      <w:start w:val="1"/>
      <w:suff w:val="tab"/>
      <w:pPr>
        <w:ind w:left="840" w:hanging="420"/>
        <w:jc w:val="both"/>
      </w:pPr>
      <w:rPr>
        <w:shd w:val="clear"/>
        <w:sz w:val="20"/>
        <w:szCs w:val="20"/>
        <w:w w:val="100"/>
      </w:rPr>
      <w:lvlText w:val="%2)"/>
    </w:lvl>
    <w:lvl w:ilvl="2">
      <w:lvlJc w:val="right"/>
      <w:numFmt w:val="lowerRoman"/>
      <w:start w:val="1"/>
      <w:suff w:val="tab"/>
      <w:pPr>
        <w:ind w:left="1260" w:hanging="420"/>
        <w:jc w:val="both"/>
      </w:pPr>
      <w:rPr>
        <w:shd w:val="clear"/>
        <w:sz w:val="20"/>
        <w:szCs w:val="20"/>
        <w:w w:val="100"/>
      </w:rPr>
      <w:lvlText w:val="%3."/>
    </w:lvl>
    <w:lvl w:ilvl="3">
      <w:lvlJc w:val="left"/>
      <w:numFmt w:val="decimal"/>
      <w:start w:val="1"/>
      <w:suff w:val="tab"/>
      <w:pPr>
        <w:ind w:left="1680" w:hanging="420"/>
        <w:jc w:val="both"/>
      </w:pPr>
      <w:rPr>
        <w:shd w:val="clear"/>
        <w:sz w:val="20"/>
        <w:szCs w:val="20"/>
        <w:w w:val="100"/>
      </w:rPr>
      <w:lvlText w:val="%4."/>
    </w:lvl>
    <w:lvl w:ilvl="4">
      <w:lvlJc w:val="left"/>
      <w:numFmt w:val="lowerLetter"/>
      <w:start w:val="1"/>
      <w:suff w:val="tab"/>
      <w:pPr>
        <w:ind w:left="2100" w:hanging="420"/>
        <w:jc w:val="both"/>
      </w:pPr>
      <w:rPr>
        <w:shd w:val="clear"/>
        <w:sz w:val="20"/>
        <w:szCs w:val="20"/>
        <w:w w:val="100"/>
      </w:rPr>
      <w:lvlText w:val="%5)"/>
    </w:lvl>
    <w:lvl w:ilvl="5">
      <w:lvlJc w:val="right"/>
      <w:numFmt w:val="lowerRoman"/>
      <w:start w:val="1"/>
      <w:suff w:val="tab"/>
      <w:pPr>
        <w:ind w:left="2520" w:hanging="420"/>
        <w:jc w:val="both"/>
      </w:pPr>
      <w:rPr>
        <w:shd w:val="clear"/>
        <w:sz w:val="20"/>
        <w:szCs w:val="20"/>
        <w:w w:val="100"/>
      </w:rPr>
      <w:lvlText w:val="%6."/>
    </w:lvl>
    <w:lvl w:ilvl="6">
      <w:lvlJc w:val="left"/>
      <w:numFmt w:val="decimal"/>
      <w:start w:val="1"/>
      <w:suff w:val="tab"/>
      <w:pPr>
        <w:ind w:left="2940" w:hanging="420"/>
        <w:jc w:val="both"/>
      </w:pPr>
      <w:rPr>
        <w:shd w:val="clear"/>
        <w:sz w:val="20"/>
        <w:szCs w:val="20"/>
        <w:w w:val="100"/>
      </w:rPr>
      <w:lvlText w:val="%7."/>
    </w:lvl>
    <w:lvl w:ilvl="7">
      <w:lvlJc w:val="left"/>
      <w:numFmt w:val="lowerLetter"/>
      <w:start w:val="1"/>
      <w:suff w:val="tab"/>
      <w:pPr>
        <w:ind w:left="3360" w:hanging="420"/>
        <w:jc w:val="both"/>
      </w:pPr>
      <w:rPr>
        <w:shd w:val="clear"/>
        <w:sz w:val="20"/>
        <w:szCs w:val="20"/>
        <w:w w:val="100"/>
      </w:rPr>
      <w:lvlText w:val="%8)"/>
    </w:lvl>
    <w:lvl w:ilvl="8">
      <w:lvlJc w:val="right"/>
      <w:numFmt w:val="lowerRoman"/>
      <w:start w:val="1"/>
      <w:suff w:val="tab"/>
      <w:pPr>
        <w:ind w:left="3780" w:hanging="420"/>
        <w:jc w:val="both"/>
      </w:pPr>
      <w:rPr>
        <w:shd w:val="clear"/>
        <w:sz w:val="20"/>
        <w:szCs w:val="20"/>
        <w:w w:val="100"/>
      </w:rPr>
      <w:lvlText w:val="%9."/>
    </w:lvl>
  </w:abstractNum>
  <w:abstractNum w:abstractNumId="2">
    <w:multiLevelType w:val="hybridMultilevel"/>
    <w:nsid w:val="2F000002"/>
    <w:tmpl w:val="1F000C5F"/>
    <w:lvl w:ilvl="0">
      <w:lvlJc w:val="left"/>
      <w:numFmt w:val="bullet"/>
      <w:start w:val="1"/>
      <w:suff w:val="tab"/>
      <w:pPr>
        <w:ind w:left="420" w:hanging="420"/>
        <w:jc w:val="both"/>
        <w:tabs>
          <w:tab w:val="left" w:pos="420"/>
        </w:tabs>
      </w:pPr>
      <w:rPr>
        <w:rFonts w:ascii="Wingdings" w:eastAsia="Wingdings" w:hAnsi="Wingdings"/>
        <w:shd w:val="clear"/>
        <w:sz w:val="20"/>
        <w:szCs w:val="20"/>
        <w:w w:val="100"/>
      </w:rPr>
      <w:lvlText w:val="²"/>
    </w:lvl>
    <w:lvl w:ilvl="1">
      <w:lvlJc w:val="left"/>
      <w:numFmt w:val="bullet"/>
      <w:start w:val="1"/>
      <w:suff w:val="tab"/>
      <w:pPr>
        <w:ind w:left="840" w:hanging="420"/>
        <w:jc w:val="both"/>
        <w:tabs>
          <w:tab w:val="left" w:pos="840"/>
        </w:tabs>
      </w:pPr>
      <w:rPr>
        <w:rFonts w:ascii="Wingdings" w:eastAsia="Wingdings" w:hAnsi="Wingdings"/>
        <w:shd w:val="clear"/>
        <w:sz w:val="20"/>
        <w:szCs w:val="20"/>
        <w:w w:val="100"/>
      </w:rPr>
      <w:lvlText w:val="n"/>
    </w:lvl>
    <w:lvl w:ilvl="2">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u"/>
    </w:lvl>
    <w:lvl w:ilvl="3">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l"/>
    </w:lvl>
    <w:lvl w:ilvl="4">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n"/>
    </w:lvl>
    <w:lvl w:ilvl="5">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u"/>
    </w:lvl>
    <w:lvl w:ilvl="6">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l"/>
    </w:lvl>
    <w:lvl w:ilvl="7">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n"/>
    </w:lvl>
    <w:lvl w:ilvl="8">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u"/>
    </w:lvl>
  </w:abstractNum>
  <w:abstractNum w:abstractNumId="3">
    <w:multiLevelType w:val="hybridMultilevel"/>
    <w:nsid w:val="2F000003"/>
    <w:tmpl w:val="1F0033C2"/>
    <w:lvl w:ilvl="0">
      <w:lvlJc w:val="left"/>
      <w:numFmt w:val="bullet"/>
      <w:start w:val="1"/>
      <w:suff w:val="tab"/>
      <w:pPr>
        <w:ind w:left="420" w:hanging="420"/>
        <w:jc w:val="both"/>
        <w:tabs>
          <w:tab w:val="left" w:pos="420"/>
        </w:tabs>
      </w:pPr>
      <w:rPr>
        <w:rFonts w:ascii="Wingdings" w:eastAsia="Wingdings" w:hAnsi="Wingdings"/>
        <w:shd w:val="clear"/>
        <w:sz w:val="20"/>
        <w:szCs w:val="20"/>
        <w:w w:val="100"/>
      </w:rPr>
      <w:lvlText w:val="²"/>
    </w:lvl>
    <w:lvl w:ilvl="1">
      <w:lvlJc w:val="left"/>
      <w:numFmt w:val="bullet"/>
      <w:start w:val="1"/>
      <w:suff w:val="tab"/>
      <w:pPr>
        <w:ind w:left="840" w:hanging="420"/>
        <w:jc w:val="both"/>
        <w:tabs>
          <w:tab w:val="left" w:pos="840"/>
        </w:tabs>
      </w:pPr>
      <w:rPr>
        <w:rFonts w:ascii="Wingdings" w:eastAsia="Wingdings" w:hAnsi="Wingdings"/>
        <w:shd w:val="clear"/>
        <w:sz w:val="20"/>
        <w:szCs w:val="20"/>
        <w:w w:val="100"/>
      </w:rPr>
      <w:lvlText w:val="l"/>
    </w:lvl>
    <w:lvl w:ilvl="2">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u"/>
    </w:lvl>
    <w:lvl w:ilvl="3">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l"/>
    </w:lvl>
    <w:lvl w:ilvl="4">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n"/>
    </w:lvl>
    <w:lvl w:ilvl="5">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u"/>
    </w:lvl>
    <w:lvl w:ilvl="6">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l"/>
    </w:lvl>
    <w:lvl w:ilvl="7">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n"/>
    </w:lvl>
    <w:lvl w:ilvl="8">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u"/>
    </w:lvl>
  </w:abstractNum>
  <w:abstractNum w:abstractNumId="4">
    <w:multiLevelType w:val="hybridMultilevel"/>
    <w:nsid w:val="2F000004"/>
    <w:tmpl w:val="1F002570"/>
    <w:lvl w:ilvl="0">
      <w:lvlJc w:val="left"/>
      <w:numFmt w:val="bullet"/>
      <w:start w:val="1"/>
      <w:suff w:val="tab"/>
      <w:pPr>
        <w:ind w:left="420" w:hanging="420"/>
        <w:jc w:val="both"/>
        <w:tabs>
          <w:tab w:val="left" w:pos="420"/>
        </w:tabs>
      </w:pPr>
      <w:rPr>
        <w:rFonts w:ascii="Wingdings" w:eastAsia="Wingdings" w:hAnsi="Wingdings"/>
        <w:shd w:val="clear"/>
        <w:sz w:val="20"/>
        <w:szCs w:val="20"/>
        <w:w w:val="100"/>
      </w:rPr>
      <w:lvlText w:val="²"/>
    </w:lvl>
    <w:lvl w:ilvl="1">
      <w:lvlJc w:val="left"/>
      <w:numFmt w:val="bullet"/>
      <w:start w:val="1"/>
      <w:suff w:val="tab"/>
      <w:pPr>
        <w:ind w:left="840" w:hanging="420"/>
        <w:jc w:val="both"/>
        <w:tabs>
          <w:tab w:val="left" w:pos="840"/>
        </w:tabs>
      </w:pPr>
      <w:rPr>
        <w:rFonts w:ascii="Wingdings" w:eastAsia="Wingdings" w:hAnsi="Wingdings"/>
        <w:shd w:val="clear"/>
        <w:sz w:val="20"/>
        <w:szCs w:val="20"/>
        <w:w w:val="100"/>
      </w:rPr>
      <w:lvlText w:val="n"/>
    </w:lvl>
    <w:lvl w:ilvl="2">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u"/>
    </w:lvl>
    <w:lvl w:ilvl="3">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l"/>
    </w:lvl>
    <w:lvl w:ilvl="4">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n"/>
    </w:lvl>
    <w:lvl w:ilvl="5">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u"/>
    </w:lvl>
    <w:lvl w:ilvl="6">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l"/>
    </w:lvl>
    <w:lvl w:ilvl="7">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n"/>
    </w:lvl>
    <w:lvl w:ilvl="8">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u"/>
    </w:lvl>
  </w:abstractNum>
  <w:abstractNum w:abstractNumId="5">
    <w:multiLevelType w:val="hybridMultilevel"/>
    <w:nsid w:val="2F000005"/>
    <w:tmpl w:val="1F001EB6"/>
    <w:lvl w:ilvl="0">
      <w:lvlJc w:val="left"/>
      <w:numFmt w:val="bullet"/>
      <w:start w:val="1"/>
      <w:suff w:val="tab"/>
      <w:pPr>
        <w:ind w:left="420" w:hanging="420"/>
        <w:jc w:val="both"/>
        <w:tabs>
          <w:tab w:val="left" w:pos="420"/>
        </w:tabs>
      </w:pPr>
      <w:rPr>
        <w:rFonts w:ascii="Wingdings" w:eastAsia="Wingdings" w:hAnsi="Wingdings"/>
        <w:shd w:val="clear"/>
        <w:sz w:val="20"/>
        <w:szCs w:val="20"/>
        <w:w w:val="100"/>
      </w:rPr>
      <w:lvlText w:val="²"/>
    </w:lvl>
    <w:lvl w:ilvl="1">
      <w:lvlJc w:val="left"/>
      <w:numFmt w:val="bullet"/>
      <w:start w:val="1"/>
      <w:suff w:val="tab"/>
      <w:pPr>
        <w:ind w:left="840" w:hanging="420"/>
        <w:jc w:val="both"/>
        <w:tabs>
          <w:tab w:val="left" w:pos="840"/>
        </w:tabs>
      </w:pPr>
      <w:rPr>
        <w:rFonts w:ascii="Wingdings" w:eastAsia="Wingdings" w:hAnsi="Wingdings"/>
        <w:shd w:val="clear"/>
        <w:sz w:val="20"/>
        <w:szCs w:val="20"/>
        <w:w w:val="100"/>
      </w:rPr>
      <w:lvlText w:val="n"/>
    </w:lvl>
    <w:lvl w:ilvl="2">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u"/>
    </w:lvl>
    <w:lvl w:ilvl="3">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l"/>
    </w:lvl>
    <w:lvl w:ilvl="4">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n"/>
    </w:lvl>
    <w:lvl w:ilvl="5">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u"/>
    </w:lvl>
    <w:lvl w:ilvl="6">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l"/>
    </w:lvl>
    <w:lvl w:ilvl="7">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n"/>
    </w:lvl>
    <w:lvl w:ilvl="8">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u"/>
    </w:lvl>
  </w:abstractNum>
  <w:abstractNum w:abstractNumId="6">
    <w:multiLevelType w:val="hybridMultilevel"/>
    <w:nsid w:val="2F000006"/>
    <w:tmpl w:val="1F00166B"/>
    <w:lvl w:ilvl="0">
      <w:lvlJc w:val="left"/>
      <w:numFmt w:val="bullet"/>
      <w:start w:val="1"/>
      <w:suff w:val="tab"/>
      <w:pPr>
        <w:ind w:left="980" w:hanging="420"/>
        <w:jc w:val="both"/>
        <w:tabs>
          <w:tab w:val="left" w:pos="980"/>
        </w:tabs>
      </w:pPr>
      <w:rPr>
        <w:rFonts w:ascii="Wingdings" w:eastAsia="Wingdings" w:hAnsi="Wingdings"/>
        <w:shd w:val="clear"/>
        <w:sz w:val="20"/>
        <w:szCs w:val="20"/>
        <w:w w:val="100"/>
      </w:rPr>
      <w:lvlText w:val="l"/>
    </w:lvl>
    <w:lvl w:ilvl="1">
      <w:lvlJc w:val="left"/>
      <w:numFmt w:val="bullet"/>
      <w:start w:val="1"/>
      <w:suff w:val="tab"/>
      <w:pPr>
        <w:ind w:left="1400" w:hanging="420"/>
        <w:jc w:val="both"/>
        <w:tabs>
          <w:tab w:val="left" w:pos="1400"/>
        </w:tabs>
      </w:pPr>
      <w:rPr>
        <w:rFonts w:ascii="Wingdings" w:eastAsia="Wingdings" w:hAnsi="Wingdings"/>
        <w:shd w:val="clear"/>
        <w:sz w:val="20"/>
        <w:szCs w:val="20"/>
        <w:w w:val="100"/>
      </w:rPr>
      <w:lvlText w:val="n"/>
    </w:lvl>
    <w:lvl w:ilvl="2">
      <w:lvlJc w:val="left"/>
      <w:numFmt w:val="bullet"/>
      <w:start w:val="1"/>
      <w:suff w:val="tab"/>
      <w:pPr>
        <w:ind w:left="1820" w:hanging="420"/>
        <w:jc w:val="both"/>
        <w:tabs>
          <w:tab w:val="left" w:pos="1820"/>
        </w:tabs>
      </w:pPr>
      <w:rPr>
        <w:rFonts w:ascii="Wingdings" w:eastAsia="Wingdings" w:hAnsi="Wingdings"/>
        <w:shd w:val="clear"/>
        <w:sz w:val="20"/>
        <w:szCs w:val="20"/>
        <w:w w:val="100"/>
      </w:rPr>
      <w:lvlText w:val="u"/>
    </w:lvl>
    <w:lvl w:ilvl="3">
      <w:lvlJc w:val="left"/>
      <w:numFmt w:val="bullet"/>
      <w:start w:val="1"/>
      <w:suff w:val="tab"/>
      <w:pPr>
        <w:ind w:left="2240" w:hanging="420"/>
        <w:jc w:val="both"/>
        <w:tabs>
          <w:tab w:val="left" w:pos="2240"/>
        </w:tabs>
      </w:pPr>
      <w:rPr>
        <w:rFonts w:ascii="Wingdings" w:eastAsia="Wingdings" w:hAnsi="Wingdings"/>
        <w:shd w:val="clear"/>
        <w:sz w:val="20"/>
        <w:szCs w:val="20"/>
        <w:w w:val="100"/>
      </w:rPr>
      <w:lvlText w:val="l"/>
    </w:lvl>
    <w:lvl w:ilvl="4">
      <w:lvlJc w:val="left"/>
      <w:numFmt w:val="bullet"/>
      <w:start w:val="1"/>
      <w:suff w:val="tab"/>
      <w:pPr>
        <w:ind w:left="2660" w:hanging="420"/>
        <w:jc w:val="both"/>
        <w:tabs>
          <w:tab w:val="left" w:pos="2660"/>
        </w:tabs>
      </w:pPr>
      <w:rPr>
        <w:rFonts w:ascii="Wingdings" w:eastAsia="Wingdings" w:hAnsi="Wingdings"/>
        <w:shd w:val="clear"/>
        <w:sz w:val="20"/>
        <w:szCs w:val="20"/>
        <w:w w:val="100"/>
      </w:rPr>
      <w:lvlText w:val="n"/>
    </w:lvl>
    <w:lvl w:ilvl="5">
      <w:lvlJc w:val="left"/>
      <w:numFmt w:val="bullet"/>
      <w:start w:val="1"/>
      <w:suff w:val="tab"/>
      <w:pPr>
        <w:ind w:left="3080" w:hanging="420"/>
        <w:jc w:val="both"/>
        <w:tabs>
          <w:tab w:val="left" w:pos="3080"/>
        </w:tabs>
      </w:pPr>
      <w:rPr>
        <w:rFonts w:ascii="Wingdings" w:eastAsia="Wingdings" w:hAnsi="Wingdings"/>
        <w:shd w:val="clear"/>
        <w:sz w:val="20"/>
        <w:szCs w:val="20"/>
        <w:w w:val="100"/>
      </w:rPr>
      <w:lvlText w:val="u"/>
    </w:lvl>
    <w:lvl w:ilvl="6">
      <w:lvlJc w:val="left"/>
      <w:numFmt w:val="bullet"/>
      <w:start w:val="1"/>
      <w:suff w:val="tab"/>
      <w:pPr>
        <w:ind w:left="3500" w:hanging="420"/>
        <w:jc w:val="both"/>
        <w:tabs>
          <w:tab w:val="left" w:pos="3500"/>
        </w:tabs>
      </w:pPr>
      <w:rPr>
        <w:rFonts w:ascii="Wingdings" w:eastAsia="Wingdings" w:hAnsi="Wingdings"/>
        <w:shd w:val="clear"/>
        <w:sz w:val="20"/>
        <w:szCs w:val="20"/>
        <w:w w:val="100"/>
      </w:rPr>
      <w:lvlText w:val="l"/>
    </w:lvl>
    <w:lvl w:ilvl="7">
      <w:lvlJc w:val="left"/>
      <w:numFmt w:val="bullet"/>
      <w:start w:val="1"/>
      <w:suff w:val="tab"/>
      <w:pPr>
        <w:ind w:left="3920" w:hanging="420"/>
        <w:jc w:val="both"/>
        <w:tabs>
          <w:tab w:val="left" w:pos="3920"/>
        </w:tabs>
      </w:pPr>
      <w:rPr>
        <w:rFonts w:ascii="Wingdings" w:eastAsia="Wingdings" w:hAnsi="Wingdings"/>
        <w:shd w:val="clear"/>
        <w:sz w:val="20"/>
        <w:szCs w:val="20"/>
        <w:w w:val="100"/>
      </w:rPr>
      <w:lvlText w:val="n"/>
    </w:lvl>
    <w:lvl w:ilvl="8">
      <w:lvlJc w:val="left"/>
      <w:numFmt w:val="bullet"/>
      <w:start w:val="1"/>
      <w:suff w:val="tab"/>
      <w:pPr>
        <w:ind w:left="4340" w:hanging="420"/>
        <w:jc w:val="both"/>
        <w:tabs>
          <w:tab w:val="left" w:pos="4340"/>
        </w:tabs>
      </w:pPr>
      <w:rPr>
        <w:rFonts w:ascii="Wingdings" w:eastAsia="Wingdings" w:hAnsi="Wingdings"/>
        <w:shd w:val="clear"/>
        <w:sz w:val="20"/>
        <w:szCs w:val="20"/>
        <w:w w:val="100"/>
      </w:rPr>
      <w:lvlText w:val="u"/>
    </w:lvl>
  </w:abstractNum>
  <w:abstractNum w:abstractNumId="7">
    <w:multiLevelType w:val="hybridMultilevel"/>
    <w:nsid w:val="2F000007"/>
    <w:tmpl w:val="1F003957"/>
    <w:lvl w:ilvl="0">
      <w:lvlJc w:val="left"/>
      <w:numFmt w:val="bullet"/>
      <w:start w:val="1"/>
      <w:suff w:val="tab"/>
      <w:pPr>
        <w:ind w:left="960" w:hanging="420"/>
        <w:jc w:val="both"/>
        <w:tabs>
          <w:tab w:val="left" w:pos="960"/>
        </w:tabs>
      </w:pPr>
      <w:rPr>
        <w:rFonts w:ascii="Wingdings" w:eastAsia="Wingdings" w:hAnsi="Wingdings"/>
        <w:shd w:val="clear"/>
        <w:sz w:val="20"/>
        <w:szCs w:val="20"/>
        <w:w w:val="100"/>
      </w:rPr>
      <w:lvlText w:val="l"/>
    </w:lvl>
    <w:lvl w:ilvl="1">
      <w:lvlJc w:val="left"/>
      <w:numFmt w:val="bullet"/>
      <w:start w:val="1"/>
      <w:suff w:val="tab"/>
      <w:pPr>
        <w:ind w:left="1400" w:hanging="420"/>
        <w:jc w:val="both"/>
        <w:tabs>
          <w:tab w:val="left" w:pos="1400"/>
        </w:tabs>
      </w:pPr>
      <w:rPr>
        <w:rFonts w:ascii="Wingdings" w:eastAsia="Wingdings" w:hAnsi="Wingdings"/>
        <w:shd w:val="clear"/>
        <w:sz w:val="20"/>
        <w:szCs w:val="20"/>
        <w:w w:val="100"/>
      </w:rPr>
      <w:lvlText w:val="n"/>
    </w:lvl>
    <w:lvl w:ilvl="2">
      <w:lvlJc w:val="left"/>
      <w:numFmt w:val="bullet"/>
      <w:start w:val="1"/>
      <w:suff w:val="tab"/>
      <w:pPr>
        <w:ind w:left="1820" w:hanging="420"/>
        <w:jc w:val="both"/>
        <w:tabs>
          <w:tab w:val="left" w:pos="1820"/>
        </w:tabs>
      </w:pPr>
      <w:rPr>
        <w:rFonts w:ascii="Wingdings" w:eastAsia="Wingdings" w:hAnsi="Wingdings"/>
        <w:shd w:val="clear"/>
        <w:sz w:val="20"/>
        <w:szCs w:val="20"/>
        <w:w w:val="100"/>
      </w:rPr>
      <w:lvlText w:val="u"/>
    </w:lvl>
    <w:lvl w:ilvl="3">
      <w:lvlJc w:val="left"/>
      <w:numFmt w:val="bullet"/>
      <w:start w:val="1"/>
      <w:suff w:val="tab"/>
      <w:pPr>
        <w:ind w:left="2240" w:hanging="420"/>
        <w:jc w:val="both"/>
        <w:tabs>
          <w:tab w:val="left" w:pos="2240"/>
        </w:tabs>
      </w:pPr>
      <w:rPr>
        <w:rFonts w:ascii="Wingdings" w:eastAsia="Wingdings" w:hAnsi="Wingdings"/>
        <w:shd w:val="clear"/>
        <w:sz w:val="20"/>
        <w:szCs w:val="20"/>
        <w:w w:val="100"/>
      </w:rPr>
      <w:lvlText w:val="l"/>
    </w:lvl>
    <w:lvl w:ilvl="4">
      <w:lvlJc w:val="left"/>
      <w:numFmt w:val="bullet"/>
      <w:start w:val="1"/>
      <w:suff w:val="tab"/>
      <w:pPr>
        <w:ind w:left="2660" w:hanging="420"/>
        <w:jc w:val="both"/>
        <w:tabs>
          <w:tab w:val="left" w:pos="2660"/>
        </w:tabs>
      </w:pPr>
      <w:rPr>
        <w:rFonts w:ascii="Wingdings" w:eastAsia="Wingdings" w:hAnsi="Wingdings"/>
        <w:shd w:val="clear"/>
        <w:sz w:val="20"/>
        <w:szCs w:val="20"/>
        <w:w w:val="100"/>
      </w:rPr>
      <w:lvlText w:val="n"/>
    </w:lvl>
    <w:lvl w:ilvl="5">
      <w:lvlJc w:val="left"/>
      <w:numFmt w:val="bullet"/>
      <w:start w:val="1"/>
      <w:suff w:val="tab"/>
      <w:pPr>
        <w:ind w:left="3080" w:hanging="420"/>
        <w:jc w:val="both"/>
        <w:tabs>
          <w:tab w:val="left" w:pos="3080"/>
        </w:tabs>
      </w:pPr>
      <w:rPr>
        <w:rFonts w:ascii="Wingdings" w:eastAsia="Wingdings" w:hAnsi="Wingdings"/>
        <w:shd w:val="clear"/>
        <w:sz w:val="20"/>
        <w:szCs w:val="20"/>
        <w:w w:val="100"/>
      </w:rPr>
      <w:lvlText w:val="u"/>
    </w:lvl>
    <w:lvl w:ilvl="6">
      <w:lvlJc w:val="left"/>
      <w:numFmt w:val="bullet"/>
      <w:start w:val="1"/>
      <w:suff w:val="tab"/>
      <w:pPr>
        <w:ind w:left="3500" w:hanging="420"/>
        <w:jc w:val="both"/>
        <w:tabs>
          <w:tab w:val="left" w:pos="3500"/>
        </w:tabs>
      </w:pPr>
      <w:rPr>
        <w:rFonts w:ascii="Wingdings" w:eastAsia="Wingdings" w:hAnsi="Wingdings"/>
        <w:shd w:val="clear"/>
        <w:sz w:val="20"/>
        <w:szCs w:val="20"/>
        <w:w w:val="100"/>
      </w:rPr>
      <w:lvlText w:val="l"/>
    </w:lvl>
    <w:lvl w:ilvl="7">
      <w:lvlJc w:val="left"/>
      <w:numFmt w:val="bullet"/>
      <w:start w:val="1"/>
      <w:suff w:val="tab"/>
      <w:pPr>
        <w:ind w:left="3920" w:hanging="420"/>
        <w:jc w:val="both"/>
        <w:tabs>
          <w:tab w:val="left" w:pos="3920"/>
        </w:tabs>
      </w:pPr>
      <w:rPr>
        <w:rFonts w:ascii="Wingdings" w:eastAsia="Wingdings" w:hAnsi="Wingdings"/>
        <w:shd w:val="clear"/>
        <w:sz w:val="20"/>
        <w:szCs w:val="20"/>
        <w:w w:val="100"/>
      </w:rPr>
      <w:lvlText w:val="n"/>
    </w:lvl>
    <w:lvl w:ilvl="8">
      <w:lvlJc w:val="left"/>
      <w:numFmt w:val="bullet"/>
      <w:start w:val="1"/>
      <w:suff w:val="tab"/>
      <w:pPr>
        <w:ind w:left="4340" w:hanging="420"/>
        <w:jc w:val="both"/>
        <w:tabs>
          <w:tab w:val="left" w:pos="4340"/>
        </w:tabs>
      </w:pPr>
      <w:rPr>
        <w:rFonts w:ascii="Wingdings" w:eastAsia="Wingdings" w:hAnsi="Wingdings"/>
        <w:shd w:val="clear"/>
        <w:sz w:val="20"/>
        <w:szCs w:val="20"/>
        <w:w w:val="100"/>
      </w:rPr>
      <w:lvlText w:val="u"/>
    </w:lvl>
  </w:abstractNum>
  <w:abstractNum w:abstractNumId="8">
    <w:multiLevelType w:val="hybridMultilevel"/>
    <w:nsid w:val="2F000008"/>
    <w:tmpl w:val="1F0034A9"/>
    <w:lvl w:ilvl="0">
      <w:lvlJc w:val="left"/>
      <w:numFmt w:val="bullet"/>
      <w:start w:val="1"/>
      <w:suff w:val="tab"/>
      <w:pPr>
        <w:ind w:left="980" w:hanging="420"/>
        <w:jc w:val="both"/>
        <w:tabs>
          <w:tab w:val="left" w:pos="980"/>
        </w:tabs>
      </w:pPr>
      <w:rPr>
        <w:rFonts w:ascii="Wingdings" w:eastAsia="Wingdings" w:hAnsi="Wingdings"/>
        <w:shd w:val="clear"/>
        <w:sz w:val="20"/>
        <w:szCs w:val="20"/>
        <w:w w:val="100"/>
      </w:rPr>
      <w:lvlText w:val="l"/>
    </w:lvl>
    <w:lvl w:ilvl="1">
      <w:lvlJc w:val="left"/>
      <w:numFmt w:val="bullet"/>
      <w:start w:val="1"/>
      <w:suff w:val="tab"/>
      <w:pPr>
        <w:ind w:left="1400" w:hanging="420"/>
        <w:jc w:val="both"/>
        <w:tabs>
          <w:tab w:val="left" w:pos="1400"/>
        </w:tabs>
      </w:pPr>
      <w:rPr>
        <w:rFonts w:ascii="Wingdings" w:eastAsia="Wingdings" w:hAnsi="Wingdings"/>
        <w:shd w:val="clear"/>
        <w:sz w:val="20"/>
        <w:szCs w:val="20"/>
        <w:w w:val="100"/>
      </w:rPr>
      <w:lvlText w:val="n"/>
    </w:lvl>
    <w:lvl w:ilvl="2">
      <w:lvlJc w:val="left"/>
      <w:numFmt w:val="bullet"/>
      <w:start w:val="1"/>
      <w:suff w:val="tab"/>
      <w:pPr>
        <w:ind w:left="1820" w:hanging="420"/>
        <w:jc w:val="both"/>
        <w:tabs>
          <w:tab w:val="left" w:pos="1820"/>
        </w:tabs>
      </w:pPr>
      <w:rPr>
        <w:rFonts w:ascii="Wingdings" w:eastAsia="Wingdings" w:hAnsi="Wingdings"/>
        <w:shd w:val="clear"/>
        <w:sz w:val="20"/>
        <w:szCs w:val="20"/>
        <w:w w:val="100"/>
      </w:rPr>
      <w:lvlText w:val="u"/>
    </w:lvl>
    <w:lvl w:ilvl="3">
      <w:lvlJc w:val="left"/>
      <w:numFmt w:val="bullet"/>
      <w:start w:val="1"/>
      <w:suff w:val="tab"/>
      <w:pPr>
        <w:ind w:left="2240" w:hanging="420"/>
        <w:jc w:val="both"/>
        <w:tabs>
          <w:tab w:val="left" w:pos="2240"/>
        </w:tabs>
      </w:pPr>
      <w:rPr>
        <w:rFonts w:ascii="Wingdings" w:eastAsia="Wingdings" w:hAnsi="Wingdings"/>
        <w:shd w:val="clear"/>
        <w:sz w:val="20"/>
        <w:szCs w:val="20"/>
        <w:w w:val="100"/>
      </w:rPr>
      <w:lvlText w:val="l"/>
    </w:lvl>
    <w:lvl w:ilvl="4">
      <w:lvlJc w:val="left"/>
      <w:numFmt w:val="bullet"/>
      <w:start w:val="1"/>
      <w:suff w:val="tab"/>
      <w:pPr>
        <w:ind w:left="2660" w:hanging="420"/>
        <w:jc w:val="both"/>
        <w:tabs>
          <w:tab w:val="left" w:pos="2660"/>
        </w:tabs>
      </w:pPr>
      <w:rPr>
        <w:rFonts w:ascii="Wingdings" w:eastAsia="Wingdings" w:hAnsi="Wingdings"/>
        <w:shd w:val="clear"/>
        <w:sz w:val="20"/>
        <w:szCs w:val="20"/>
        <w:w w:val="100"/>
      </w:rPr>
      <w:lvlText w:val="n"/>
    </w:lvl>
    <w:lvl w:ilvl="5">
      <w:lvlJc w:val="left"/>
      <w:numFmt w:val="bullet"/>
      <w:start w:val="1"/>
      <w:suff w:val="tab"/>
      <w:pPr>
        <w:ind w:left="3080" w:hanging="420"/>
        <w:jc w:val="both"/>
        <w:tabs>
          <w:tab w:val="left" w:pos="3080"/>
        </w:tabs>
      </w:pPr>
      <w:rPr>
        <w:rFonts w:ascii="Wingdings" w:eastAsia="Wingdings" w:hAnsi="Wingdings"/>
        <w:shd w:val="clear"/>
        <w:sz w:val="20"/>
        <w:szCs w:val="20"/>
        <w:w w:val="100"/>
      </w:rPr>
      <w:lvlText w:val="u"/>
    </w:lvl>
    <w:lvl w:ilvl="6">
      <w:lvlJc w:val="left"/>
      <w:numFmt w:val="bullet"/>
      <w:start w:val="1"/>
      <w:suff w:val="tab"/>
      <w:pPr>
        <w:ind w:left="3500" w:hanging="420"/>
        <w:jc w:val="both"/>
        <w:tabs>
          <w:tab w:val="left" w:pos="3500"/>
        </w:tabs>
      </w:pPr>
      <w:rPr>
        <w:rFonts w:ascii="Wingdings" w:eastAsia="Wingdings" w:hAnsi="Wingdings"/>
        <w:shd w:val="clear"/>
        <w:sz w:val="20"/>
        <w:szCs w:val="20"/>
        <w:w w:val="100"/>
      </w:rPr>
      <w:lvlText w:val="l"/>
    </w:lvl>
    <w:lvl w:ilvl="7">
      <w:lvlJc w:val="left"/>
      <w:numFmt w:val="bullet"/>
      <w:start w:val="1"/>
      <w:suff w:val="tab"/>
      <w:pPr>
        <w:ind w:left="3920" w:hanging="420"/>
        <w:jc w:val="both"/>
        <w:tabs>
          <w:tab w:val="left" w:pos="3920"/>
        </w:tabs>
      </w:pPr>
      <w:rPr>
        <w:rFonts w:ascii="Wingdings" w:eastAsia="Wingdings" w:hAnsi="Wingdings"/>
        <w:shd w:val="clear"/>
        <w:sz w:val="20"/>
        <w:szCs w:val="20"/>
        <w:w w:val="100"/>
      </w:rPr>
      <w:lvlText w:val="n"/>
    </w:lvl>
    <w:lvl w:ilvl="8">
      <w:lvlJc w:val="left"/>
      <w:numFmt w:val="bullet"/>
      <w:start w:val="1"/>
      <w:suff w:val="tab"/>
      <w:pPr>
        <w:ind w:left="4340" w:hanging="420"/>
        <w:jc w:val="both"/>
        <w:tabs>
          <w:tab w:val="left" w:pos="4340"/>
        </w:tabs>
      </w:pPr>
      <w:rPr>
        <w:rFonts w:ascii="Wingdings" w:eastAsia="Wingdings" w:hAnsi="Wingdings"/>
        <w:shd w:val="clear"/>
        <w:sz w:val="20"/>
        <w:szCs w:val="20"/>
        <w:w w:val="100"/>
      </w:rPr>
      <w:lvlText w:val="u"/>
    </w:lvl>
  </w:abstractNum>
  <w:abstractNum w:abstractNumId="9">
    <w:multiLevelType w:val="hybridMultilevel"/>
    <w:nsid w:val="2F000009"/>
    <w:tmpl w:val="1F002FC8"/>
    <w:lvl w:ilvl="0">
      <w:lvlJc w:val="left"/>
      <w:numFmt w:val="bullet"/>
      <w:start w:val="1"/>
      <w:suff w:val="tab"/>
      <w:pPr>
        <w:ind w:left="980" w:hanging="420"/>
        <w:jc w:val="both"/>
        <w:tabs>
          <w:tab w:val="left" w:pos="980"/>
        </w:tabs>
      </w:pPr>
      <w:rPr>
        <w:rFonts w:ascii="Wingdings" w:eastAsia="Wingdings" w:hAnsi="Wingdings"/>
        <w:shd w:val="clear"/>
        <w:sz w:val="20"/>
        <w:szCs w:val="20"/>
        <w:w w:val="100"/>
      </w:rPr>
      <w:lvlText w:val="l"/>
    </w:lvl>
    <w:lvl w:ilvl="1">
      <w:lvlJc w:val="left"/>
      <w:numFmt w:val="bullet"/>
      <w:start w:val="1"/>
      <w:suff w:val="tab"/>
      <w:pPr>
        <w:ind w:left="1400" w:hanging="420"/>
        <w:jc w:val="both"/>
        <w:tabs>
          <w:tab w:val="left" w:pos="1400"/>
        </w:tabs>
      </w:pPr>
      <w:rPr>
        <w:rFonts w:ascii="Wingdings" w:eastAsia="Wingdings" w:hAnsi="Wingdings"/>
        <w:shd w:val="clear"/>
        <w:sz w:val="20"/>
        <w:szCs w:val="20"/>
        <w:w w:val="100"/>
      </w:rPr>
      <w:lvlText w:val="n"/>
    </w:lvl>
    <w:lvl w:ilvl="2">
      <w:lvlJc w:val="left"/>
      <w:numFmt w:val="bullet"/>
      <w:start w:val="1"/>
      <w:suff w:val="tab"/>
      <w:pPr>
        <w:ind w:left="1820" w:hanging="420"/>
        <w:jc w:val="both"/>
        <w:tabs>
          <w:tab w:val="left" w:pos="1820"/>
        </w:tabs>
      </w:pPr>
      <w:rPr>
        <w:rFonts w:ascii="Wingdings" w:eastAsia="Wingdings" w:hAnsi="Wingdings"/>
        <w:shd w:val="clear"/>
        <w:sz w:val="20"/>
        <w:szCs w:val="20"/>
        <w:w w:val="100"/>
      </w:rPr>
      <w:lvlText w:val="l"/>
    </w:lvl>
    <w:lvl w:ilvl="3">
      <w:lvlJc w:val="left"/>
      <w:numFmt w:val="bullet"/>
      <w:start w:val="1"/>
      <w:suff w:val="tab"/>
      <w:pPr>
        <w:ind w:left="2240" w:hanging="420"/>
        <w:jc w:val="both"/>
        <w:tabs>
          <w:tab w:val="left" w:pos="2240"/>
        </w:tabs>
      </w:pPr>
      <w:rPr>
        <w:rFonts w:ascii="Wingdings" w:eastAsia="Wingdings" w:hAnsi="Wingdings"/>
        <w:shd w:val="clear"/>
        <w:sz w:val="20"/>
        <w:szCs w:val="20"/>
        <w:w w:val="100"/>
      </w:rPr>
      <w:lvlText w:val="l"/>
    </w:lvl>
    <w:lvl w:ilvl="4">
      <w:lvlJc w:val="left"/>
      <w:numFmt w:val="bullet"/>
      <w:start w:val="1"/>
      <w:suff w:val="tab"/>
      <w:pPr>
        <w:ind w:left="2660" w:hanging="420"/>
        <w:jc w:val="both"/>
        <w:tabs>
          <w:tab w:val="left" w:pos="2660"/>
        </w:tabs>
      </w:pPr>
      <w:rPr>
        <w:rFonts w:ascii="Wingdings" w:eastAsia="Wingdings" w:hAnsi="Wingdings"/>
        <w:shd w:val="clear"/>
        <w:sz w:val="20"/>
        <w:szCs w:val="20"/>
        <w:w w:val="100"/>
      </w:rPr>
      <w:lvlText w:val="n"/>
    </w:lvl>
    <w:lvl w:ilvl="5">
      <w:lvlJc w:val="left"/>
      <w:numFmt w:val="bullet"/>
      <w:start w:val="1"/>
      <w:suff w:val="tab"/>
      <w:pPr>
        <w:ind w:left="3080" w:hanging="420"/>
        <w:jc w:val="both"/>
        <w:tabs>
          <w:tab w:val="left" w:pos="3080"/>
        </w:tabs>
      </w:pPr>
      <w:rPr>
        <w:rFonts w:ascii="Wingdings" w:eastAsia="Wingdings" w:hAnsi="Wingdings"/>
        <w:shd w:val="clear"/>
        <w:sz w:val="20"/>
        <w:szCs w:val="20"/>
        <w:w w:val="100"/>
      </w:rPr>
      <w:lvlText w:val="u"/>
    </w:lvl>
    <w:lvl w:ilvl="6">
      <w:lvlJc w:val="left"/>
      <w:numFmt w:val="bullet"/>
      <w:start w:val="1"/>
      <w:suff w:val="tab"/>
      <w:pPr>
        <w:ind w:left="3500" w:hanging="420"/>
        <w:jc w:val="both"/>
        <w:tabs>
          <w:tab w:val="left" w:pos="3500"/>
        </w:tabs>
      </w:pPr>
      <w:rPr>
        <w:rFonts w:ascii="Wingdings" w:eastAsia="Wingdings" w:hAnsi="Wingdings"/>
        <w:shd w:val="clear"/>
        <w:sz w:val="20"/>
        <w:szCs w:val="20"/>
        <w:w w:val="100"/>
      </w:rPr>
      <w:lvlText w:val="l"/>
    </w:lvl>
    <w:lvl w:ilvl="7">
      <w:lvlJc w:val="left"/>
      <w:numFmt w:val="bullet"/>
      <w:start w:val="1"/>
      <w:suff w:val="tab"/>
      <w:pPr>
        <w:ind w:left="3920" w:hanging="420"/>
        <w:jc w:val="both"/>
        <w:tabs>
          <w:tab w:val="left" w:pos="3920"/>
        </w:tabs>
      </w:pPr>
      <w:rPr>
        <w:rFonts w:ascii="Wingdings" w:eastAsia="Wingdings" w:hAnsi="Wingdings"/>
        <w:shd w:val="clear"/>
        <w:sz w:val="20"/>
        <w:szCs w:val="20"/>
        <w:w w:val="100"/>
      </w:rPr>
      <w:lvlText w:val="n"/>
    </w:lvl>
    <w:lvl w:ilvl="8">
      <w:lvlJc w:val="left"/>
      <w:numFmt w:val="bullet"/>
      <w:start w:val="1"/>
      <w:suff w:val="tab"/>
      <w:pPr>
        <w:ind w:left="4340" w:hanging="420"/>
        <w:jc w:val="both"/>
        <w:tabs>
          <w:tab w:val="left" w:pos="4340"/>
        </w:tabs>
      </w:pPr>
      <w:rPr>
        <w:rFonts w:ascii="Wingdings" w:eastAsia="Wingdings" w:hAnsi="Wingdings"/>
        <w:shd w:val="clear"/>
        <w:sz w:val="20"/>
        <w:szCs w:val="20"/>
        <w:w w:val="100"/>
      </w:rPr>
      <w:lvlText w:val="u"/>
    </w:lvl>
  </w:abstractNum>
  <w:abstractNum w:abstractNumId="10">
    <w:multiLevelType w:val="hybridMultilevel"/>
    <w:nsid w:val="2F00000A"/>
    <w:tmpl w:val="1F000B24"/>
    <w:lvl w:ilvl="0">
      <w:lvlJc w:val="left"/>
      <w:numFmt w:val="bullet"/>
      <w:start w:val="1"/>
      <w:suff w:val="tab"/>
      <w:pPr>
        <w:ind w:left="980" w:hanging="420"/>
        <w:jc w:val="both"/>
        <w:tabs>
          <w:tab w:val="left" w:pos="980"/>
        </w:tabs>
      </w:pPr>
      <w:rPr>
        <w:rFonts w:ascii="Wingdings" w:eastAsia="Wingdings" w:hAnsi="Wingdings"/>
        <w:shd w:val="clear"/>
        <w:sz w:val="20"/>
        <w:szCs w:val="20"/>
        <w:w w:val="100"/>
      </w:rPr>
      <w:lvlText w:val="l"/>
    </w:lvl>
    <w:lvl w:ilvl="1">
      <w:lvlJc w:val="left"/>
      <w:numFmt w:val="bullet"/>
      <w:start w:val="1"/>
      <w:suff w:val="tab"/>
      <w:pPr>
        <w:ind w:left="1400" w:hanging="420"/>
        <w:jc w:val="both"/>
        <w:tabs>
          <w:tab w:val="left" w:pos="1400"/>
        </w:tabs>
      </w:pPr>
      <w:rPr>
        <w:rFonts w:ascii="Wingdings" w:eastAsia="Wingdings" w:hAnsi="Wingdings"/>
        <w:shd w:val="clear"/>
        <w:sz w:val="20"/>
        <w:szCs w:val="20"/>
        <w:w w:val="100"/>
      </w:rPr>
      <w:lvlText w:val="n"/>
    </w:lvl>
    <w:lvl w:ilvl="2">
      <w:lvlJc w:val="left"/>
      <w:numFmt w:val="bullet"/>
      <w:start w:val="1"/>
      <w:suff w:val="tab"/>
      <w:pPr>
        <w:ind w:left="1820" w:hanging="420"/>
        <w:jc w:val="both"/>
        <w:tabs>
          <w:tab w:val="left" w:pos="1820"/>
        </w:tabs>
      </w:pPr>
      <w:rPr>
        <w:rFonts w:ascii="Wingdings" w:eastAsia="Wingdings" w:hAnsi="Wingdings"/>
        <w:shd w:val="clear"/>
        <w:sz w:val="20"/>
        <w:szCs w:val="20"/>
        <w:w w:val="100"/>
      </w:rPr>
      <w:lvlText w:val="u"/>
    </w:lvl>
    <w:lvl w:ilvl="3">
      <w:lvlJc w:val="left"/>
      <w:numFmt w:val="bullet"/>
      <w:start w:val="1"/>
      <w:suff w:val="tab"/>
      <w:pPr>
        <w:ind w:left="2240" w:hanging="420"/>
        <w:jc w:val="both"/>
        <w:tabs>
          <w:tab w:val="left" w:pos="2240"/>
        </w:tabs>
      </w:pPr>
      <w:rPr>
        <w:rFonts w:ascii="Wingdings" w:eastAsia="Wingdings" w:hAnsi="Wingdings"/>
        <w:shd w:val="clear"/>
        <w:sz w:val="20"/>
        <w:szCs w:val="20"/>
        <w:w w:val="100"/>
      </w:rPr>
      <w:lvlText w:val="l"/>
    </w:lvl>
    <w:lvl w:ilvl="4">
      <w:lvlJc w:val="left"/>
      <w:numFmt w:val="bullet"/>
      <w:start w:val="1"/>
      <w:suff w:val="tab"/>
      <w:pPr>
        <w:ind w:left="2660" w:hanging="420"/>
        <w:jc w:val="both"/>
        <w:tabs>
          <w:tab w:val="left" w:pos="2660"/>
        </w:tabs>
      </w:pPr>
      <w:rPr>
        <w:rFonts w:ascii="Wingdings" w:eastAsia="Wingdings" w:hAnsi="Wingdings"/>
        <w:shd w:val="clear"/>
        <w:sz w:val="20"/>
        <w:szCs w:val="20"/>
        <w:w w:val="100"/>
      </w:rPr>
      <w:lvlText w:val="n"/>
    </w:lvl>
    <w:lvl w:ilvl="5">
      <w:lvlJc w:val="left"/>
      <w:numFmt w:val="bullet"/>
      <w:start w:val="1"/>
      <w:suff w:val="tab"/>
      <w:pPr>
        <w:ind w:left="3080" w:hanging="420"/>
        <w:jc w:val="both"/>
        <w:tabs>
          <w:tab w:val="left" w:pos="3080"/>
        </w:tabs>
      </w:pPr>
      <w:rPr>
        <w:rFonts w:ascii="Wingdings" w:eastAsia="Wingdings" w:hAnsi="Wingdings"/>
        <w:shd w:val="clear"/>
        <w:sz w:val="20"/>
        <w:szCs w:val="20"/>
        <w:w w:val="100"/>
      </w:rPr>
      <w:lvlText w:val="u"/>
    </w:lvl>
    <w:lvl w:ilvl="6">
      <w:lvlJc w:val="left"/>
      <w:numFmt w:val="bullet"/>
      <w:start w:val="1"/>
      <w:suff w:val="tab"/>
      <w:pPr>
        <w:ind w:left="3500" w:hanging="420"/>
        <w:jc w:val="both"/>
        <w:tabs>
          <w:tab w:val="left" w:pos="3500"/>
        </w:tabs>
      </w:pPr>
      <w:rPr>
        <w:rFonts w:ascii="Wingdings" w:eastAsia="Wingdings" w:hAnsi="Wingdings"/>
        <w:shd w:val="clear"/>
        <w:sz w:val="20"/>
        <w:szCs w:val="20"/>
        <w:w w:val="100"/>
      </w:rPr>
      <w:lvlText w:val="l"/>
    </w:lvl>
    <w:lvl w:ilvl="7">
      <w:lvlJc w:val="left"/>
      <w:numFmt w:val="bullet"/>
      <w:start w:val="1"/>
      <w:suff w:val="tab"/>
      <w:pPr>
        <w:ind w:left="3920" w:hanging="420"/>
        <w:jc w:val="both"/>
        <w:tabs>
          <w:tab w:val="left" w:pos="3920"/>
        </w:tabs>
      </w:pPr>
      <w:rPr>
        <w:rFonts w:ascii="Wingdings" w:eastAsia="Wingdings" w:hAnsi="Wingdings"/>
        <w:shd w:val="clear"/>
        <w:sz w:val="20"/>
        <w:szCs w:val="20"/>
        <w:w w:val="100"/>
      </w:rPr>
      <w:lvlText w:val="n"/>
    </w:lvl>
    <w:lvl w:ilvl="8">
      <w:lvlJc w:val="left"/>
      <w:numFmt w:val="bullet"/>
      <w:start w:val="1"/>
      <w:suff w:val="tab"/>
      <w:pPr>
        <w:ind w:left="4340" w:hanging="420"/>
        <w:jc w:val="both"/>
        <w:tabs>
          <w:tab w:val="left" w:pos="4340"/>
        </w:tabs>
      </w:pPr>
      <w:rPr>
        <w:rFonts w:ascii="Wingdings" w:eastAsia="Wingdings" w:hAnsi="Wingdings"/>
        <w:shd w:val="clear"/>
        <w:sz w:val="20"/>
        <w:szCs w:val="20"/>
        <w:w w:val="100"/>
      </w:rPr>
      <w:lvlText w:val="u"/>
    </w:lvl>
  </w:abstractNum>
  <w:abstractNum w:abstractNumId="11">
    <w:multiLevelType w:val="hybridMultilevel"/>
    <w:nsid w:val="2F00000B"/>
    <w:tmpl w:val="1F0036F8"/>
    <w:lvl w:ilvl="0">
      <w:lvlJc w:val="left"/>
      <w:numFmt w:val="bullet"/>
      <w:start w:val="1"/>
      <w:suff w:val="tab"/>
      <w:pPr>
        <w:ind w:left="420" w:hanging="420"/>
        <w:jc w:val="both"/>
        <w:tabs>
          <w:tab w:val="left" w:pos="420"/>
        </w:tabs>
      </w:pPr>
      <w:rPr>
        <w:rFonts w:ascii="Wingdings" w:eastAsia="Wingdings" w:hAnsi="Wingdings"/>
        <w:shd w:val="clear"/>
        <w:sz w:val="20"/>
        <w:szCs w:val="20"/>
        <w:w w:val="100"/>
      </w:rPr>
      <w:lvlText w:val="²"/>
    </w:lvl>
    <w:lvl w:ilvl="1">
      <w:lvlJc w:val="left"/>
      <w:numFmt w:val="bullet"/>
      <w:start w:val="1"/>
      <w:suff w:val="tab"/>
      <w:pPr>
        <w:ind w:left="840" w:hanging="420"/>
        <w:jc w:val="both"/>
        <w:tabs>
          <w:tab w:val="left" w:pos="840"/>
        </w:tabs>
      </w:pPr>
      <w:rPr>
        <w:rFonts w:ascii="Wingdings" w:eastAsia="Wingdings" w:hAnsi="Wingdings"/>
        <w:shd w:val="clear"/>
        <w:sz w:val="20"/>
        <w:szCs w:val="20"/>
        <w:w w:val="100"/>
      </w:rPr>
      <w:lvlText w:val="n"/>
    </w:lvl>
    <w:lvl w:ilvl="2">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u"/>
    </w:lvl>
    <w:lvl w:ilvl="3">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l"/>
    </w:lvl>
    <w:lvl w:ilvl="4">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n"/>
    </w:lvl>
    <w:lvl w:ilvl="5">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u"/>
    </w:lvl>
    <w:lvl w:ilvl="6">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l"/>
    </w:lvl>
    <w:lvl w:ilvl="7">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n"/>
    </w:lvl>
    <w:lvl w:ilvl="8">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u"/>
    </w:lvl>
  </w:abstractNum>
  <w:abstractNum w:abstractNumId="12">
    <w:multiLevelType w:val="hybridMultilevel"/>
    <w:nsid w:val="2F00000C"/>
    <w:tmpl w:val="1F002D78"/>
    <w:lvl w:ilvl="0">
      <w:lvlJc w:val="left"/>
      <w:numFmt w:val="bullet"/>
      <w:start w:val="1"/>
      <w:suff w:val="tab"/>
      <w:pPr>
        <w:ind w:left="420" w:hanging="420"/>
        <w:jc w:val="both"/>
        <w:tabs>
          <w:tab w:val="left" w:pos="420"/>
        </w:tabs>
      </w:pPr>
      <w:rPr>
        <w:rFonts w:ascii="Wingdings" w:eastAsia="Wingdings" w:hAnsi="Wingdings"/>
        <w:shd w:val="clear"/>
        <w:sz w:val="20"/>
        <w:szCs w:val="20"/>
        <w:w w:val="100"/>
      </w:rPr>
      <w:lvlText w:val="²"/>
    </w:lvl>
    <w:lvl w:ilvl="1">
      <w:lvlJc w:val="left"/>
      <w:numFmt w:val="bullet"/>
      <w:start w:val="1"/>
      <w:suff w:val="tab"/>
      <w:pPr>
        <w:ind w:left="1200" w:hanging="420"/>
        <w:jc w:val="both"/>
        <w:tabs>
          <w:tab w:val="left" w:pos="1200"/>
        </w:tabs>
      </w:pPr>
      <w:rPr>
        <w:rFonts w:ascii="Wingdings" w:eastAsia="Wingdings" w:hAnsi="Wingdings"/>
        <w:shd w:val="clear"/>
        <w:sz w:val="20"/>
        <w:szCs w:val="20"/>
        <w:w w:val="100"/>
      </w:rPr>
      <w:lvlText w:val="n"/>
    </w:lvl>
    <w:lvl w:ilvl="2">
      <w:lvlJc w:val="left"/>
      <w:numFmt w:val="bullet"/>
      <w:start w:val="1"/>
      <w:suff w:val="tab"/>
      <w:pPr>
        <w:ind w:left="1620" w:hanging="420"/>
        <w:jc w:val="both"/>
        <w:tabs>
          <w:tab w:val="left" w:pos="1620"/>
        </w:tabs>
      </w:pPr>
      <w:rPr>
        <w:rFonts w:ascii="Wingdings" w:eastAsia="Wingdings" w:hAnsi="Wingdings"/>
        <w:shd w:val="clear"/>
        <w:sz w:val="20"/>
        <w:szCs w:val="20"/>
        <w:w w:val="100"/>
      </w:rPr>
      <w:lvlText w:val="u"/>
    </w:lvl>
    <w:lvl w:ilvl="3">
      <w:lvlJc w:val="left"/>
      <w:numFmt w:val="bullet"/>
      <w:start w:val="1"/>
      <w:suff w:val="tab"/>
      <w:pPr>
        <w:ind w:left="2040" w:hanging="420"/>
        <w:jc w:val="both"/>
        <w:tabs>
          <w:tab w:val="left" w:pos="2040"/>
        </w:tabs>
      </w:pPr>
      <w:rPr>
        <w:rFonts w:ascii="Wingdings" w:eastAsia="Wingdings" w:hAnsi="Wingdings"/>
        <w:shd w:val="clear"/>
        <w:sz w:val="20"/>
        <w:szCs w:val="20"/>
        <w:w w:val="100"/>
      </w:rPr>
      <w:lvlText w:val="l"/>
    </w:lvl>
    <w:lvl w:ilvl="4">
      <w:lvlJc w:val="left"/>
      <w:numFmt w:val="bullet"/>
      <w:start w:val="1"/>
      <w:suff w:val="tab"/>
      <w:pPr>
        <w:ind w:left="2460" w:hanging="420"/>
        <w:jc w:val="both"/>
        <w:tabs>
          <w:tab w:val="left" w:pos="2460"/>
        </w:tabs>
      </w:pPr>
      <w:rPr>
        <w:rFonts w:ascii="Wingdings" w:eastAsia="Wingdings" w:hAnsi="Wingdings"/>
        <w:shd w:val="clear"/>
        <w:sz w:val="20"/>
        <w:szCs w:val="20"/>
        <w:w w:val="100"/>
      </w:rPr>
      <w:lvlText w:val="n"/>
    </w:lvl>
    <w:lvl w:ilvl="5">
      <w:lvlJc w:val="left"/>
      <w:numFmt w:val="bullet"/>
      <w:start w:val="1"/>
      <w:suff w:val="tab"/>
      <w:pPr>
        <w:ind w:left="2880" w:hanging="420"/>
        <w:jc w:val="both"/>
        <w:tabs>
          <w:tab w:val="left" w:pos="2880"/>
        </w:tabs>
      </w:pPr>
      <w:rPr>
        <w:rFonts w:ascii="Wingdings" w:eastAsia="Wingdings" w:hAnsi="Wingdings"/>
        <w:shd w:val="clear"/>
        <w:sz w:val="20"/>
        <w:szCs w:val="20"/>
        <w:w w:val="100"/>
      </w:rPr>
      <w:lvlText w:val="u"/>
    </w:lvl>
    <w:lvl w:ilvl="6">
      <w:lvlJc w:val="left"/>
      <w:numFmt w:val="bullet"/>
      <w:start w:val="1"/>
      <w:suff w:val="tab"/>
      <w:pPr>
        <w:ind w:left="3300" w:hanging="420"/>
        <w:jc w:val="both"/>
        <w:tabs>
          <w:tab w:val="left" w:pos="3300"/>
        </w:tabs>
      </w:pPr>
      <w:rPr>
        <w:rFonts w:ascii="Wingdings" w:eastAsia="Wingdings" w:hAnsi="Wingdings"/>
        <w:shd w:val="clear"/>
        <w:sz w:val="20"/>
        <w:szCs w:val="20"/>
        <w:w w:val="100"/>
      </w:rPr>
      <w:lvlText w:val="l"/>
    </w:lvl>
    <w:lvl w:ilvl="7">
      <w:lvlJc w:val="left"/>
      <w:numFmt w:val="bullet"/>
      <w:start w:val="1"/>
      <w:suff w:val="tab"/>
      <w:pPr>
        <w:ind w:left="3720" w:hanging="420"/>
        <w:jc w:val="both"/>
        <w:tabs>
          <w:tab w:val="left" w:pos="3720"/>
        </w:tabs>
      </w:pPr>
      <w:rPr>
        <w:rFonts w:ascii="Wingdings" w:eastAsia="Wingdings" w:hAnsi="Wingdings"/>
        <w:shd w:val="clear"/>
        <w:sz w:val="20"/>
        <w:szCs w:val="20"/>
        <w:w w:val="100"/>
      </w:rPr>
      <w:lvlText w:val="n"/>
    </w:lvl>
    <w:lvl w:ilvl="8">
      <w:lvlJc w:val="left"/>
      <w:numFmt w:val="bullet"/>
      <w:start w:val="1"/>
      <w:suff w:val="tab"/>
      <w:pPr>
        <w:ind w:left="4140" w:hanging="420"/>
        <w:jc w:val="both"/>
        <w:tabs>
          <w:tab w:val="left" w:pos="4140"/>
        </w:tabs>
      </w:pPr>
      <w:rPr>
        <w:rFonts w:ascii="Wingdings" w:eastAsia="Wingdings" w:hAnsi="Wingdings"/>
        <w:shd w:val="clear"/>
        <w:sz w:val="20"/>
        <w:szCs w:val="20"/>
        <w:w w:val="100"/>
      </w:rPr>
      <w:lvlText w:val="u"/>
    </w:lvl>
  </w:abstractNum>
  <w:abstractNum w:abstractNumId="13">
    <w:multiLevelType w:val="hybridMultilevel"/>
    <w:nsid w:val="2F00000D"/>
    <w:tmpl w:val="1F0020DD"/>
    <w:lvl w:ilvl="0">
      <w:lvlJc w:val="left"/>
      <w:numFmt w:val="decimal"/>
      <w:start w:val="1"/>
      <w:suff w:val="tab"/>
      <w:pPr>
        <w:ind w:left="360" w:hanging="360"/>
        <w:jc w:val="both"/>
      </w:pPr>
      <w:rPr>
        <w:shd w:val="clear"/>
        <w:sz w:val="20"/>
        <w:szCs w:val="20"/>
        <w:w w:val="100"/>
      </w:rPr>
      <w:lvlText w:val="%1."/>
    </w:lvl>
    <w:lvl w:ilvl="1">
      <w:lvlJc w:val="left"/>
      <w:numFmt w:val="lowerLetter"/>
      <w:start w:val="1"/>
      <w:suff w:val="tab"/>
      <w:pPr>
        <w:ind w:left="840" w:hanging="420"/>
        <w:jc w:val="both"/>
      </w:pPr>
      <w:rPr>
        <w:shd w:val="clear"/>
        <w:sz w:val="20"/>
        <w:szCs w:val="20"/>
        <w:w w:val="100"/>
      </w:rPr>
      <w:lvlText w:val="%2)"/>
    </w:lvl>
    <w:lvl w:ilvl="2">
      <w:lvlJc w:val="right"/>
      <w:numFmt w:val="lowerRoman"/>
      <w:start w:val="1"/>
      <w:suff w:val="tab"/>
      <w:pPr>
        <w:ind w:left="1260" w:hanging="420"/>
        <w:jc w:val="both"/>
      </w:pPr>
      <w:rPr>
        <w:shd w:val="clear"/>
        <w:sz w:val="20"/>
        <w:szCs w:val="20"/>
        <w:w w:val="100"/>
      </w:rPr>
      <w:lvlText w:val="%3."/>
    </w:lvl>
    <w:lvl w:ilvl="3">
      <w:lvlJc w:val="left"/>
      <w:numFmt w:val="decimal"/>
      <w:start w:val="1"/>
      <w:suff w:val="tab"/>
      <w:pPr>
        <w:ind w:left="1680" w:hanging="420"/>
        <w:jc w:val="both"/>
      </w:pPr>
      <w:rPr>
        <w:shd w:val="clear"/>
        <w:sz w:val="20"/>
        <w:szCs w:val="20"/>
        <w:w w:val="100"/>
      </w:rPr>
      <w:lvlText w:val="%4."/>
    </w:lvl>
    <w:lvl w:ilvl="4">
      <w:lvlJc w:val="left"/>
      <w:numFmt w:val="lowerLetter"/>
      <w:start w:val="1"/>
      <w:suff w:val="tab"/>
      <w:pPr>
        <w:ind w:left="2100" w:hanging="420"/>
        <w:jc w:val="both"/>
      </w:pPr>
      <w:rPr>
        <w:shd w:val="clear"/>
        <w:sz w:val="20"/>
        <w:szCs w:val="20"/>
        <w:w w:val="100"/>
      </w:rPr>
      <w:lvlText w:val="%5)"/>
    </w:lvl>
    <w:lvl w:ilvl="5">
      <w:lvlJc w:val="right"/>
      <w:numFmt w:val="lowerRoman"/>
      <w:start w:val="1"/>
      <w:suff w:val="tab"/>
      <w:pPr>
        <w:ind w:left="2520" w:hanging="420"/>
        <w:jc w:val="both"/>
      </w:pPr>
      <w:rPr>
        <w:shd w:val="clear"/>
        <w:sz w:val="20"/>
        <w:szCs w:val="20"/>
        <w:w w:val="100"/>
      </w:rPr>
      <w:lvlText w:val="%6."/>
    </w:lvl>
    <w:lvl w:ilvl="6">
      <w:lvlJc w:val="left"/>
      <w:numFmt w:val="decimal"/>
      <w:start w:val="1"/>
      <w:suff w:val="tab"/>
      <w:pPr>
        <w:ind w:left="2940" w:hanging="420"/>
        <w:jc w:val="both"/>
      </w:pPr>
      <w:rPr>
        <w:shd w:val="clear"/>
        <w:sz w:val="20"/>
        <w:szCs w:val="20"/>
        <w:w w:val="100"/>
      </w:rPr>
      <w:lvlText w:val="%7."/>
    </w:lvl>
    <w:lvl w:ilvl="7">
      <w:lvlJc w:val="left"/>
      <w:numFmt w:val="lowerLetter"/>
      <w:start w:val="1"/>
      <w:suff w:val="tab"/>
      <w:pPr>
        <w:ind w:left="3360" w:hanging="420"/>
        <w:jc w:val="both"/>
      </w:pPr>
      <w:rPr>
        <w:shd w:val="clear"/>
        <w:sz w:val="20"/>
        <w:szCs w:val="20"/>
        <w:w w:val="100"/>
      </w:rPr>
      <w:lvlText w:val="%8)"/>
    </w:lvl>
    <w:lvl w:ilvl="8">
      <w:lvlJc w:val="right"/>
      <w:numFmt w:val="lowerRoman"/>
      <w:start w:val="1"/>
      <w:suff w:val="tab"/>
      <w:pPr>
        <w:ind w:left="3780" w:hanging="420"/>
        <w:jc w:val="both"/>
      </w:pPr>
      <w:rPr>
        <w:shd w:val="clear"/>
        <w:sz w:val="20"/>
        <w:szCs w:val="20"/>
        <w:w w:val="100"/>
      </w:rPr>
      <w:lvlText w:val="%9."/>
    </w:lvl>
  </w:abstractNum>
  <w:abstractNum w:abstractNumId="14">
    <w:multiLevelType w:val="hybridMultilevel"/>
    <w:nsid w:val="2F00000E"/>
    <w:tmpl w:val="1F001374"/>
    <w:lvl w:ilvl="0">
      <w:lvlJc w:val="left"/>
      <w:numFmt w:val="bullet"/>
      <w:start w:val="1"/>
      <w:suff w:val="tab"/>
      <w:pPr>
        <w:ind w:left="960" w:hanging="420"/>
        <w:jc w:val="both"/>
        <w:tabs>
          <w:tab w:val="left" w:pos="960"/>
        </w:tabs>
      </w:pPr>
      <w:rPr>
        <w:rFonts w:ascii="Wingdings" w:eastAsia="Wingdings" w:hAnsi="Wingdings"/>
        <w:shd w:val="clear"/>
        <w:sz w:val="20"/>
        <w:szCs w:val="20"/>
        <w:w w:val="100"/>
      </w:rPr>
      <w:lvlText w:val="l"/>
    </w:lvl>
    <w:lvl w:ilvl="1">
      <w:lvlJc w:val="left"/>
      <w:numFmt w:val="bullet"/>
      <w:start w:val="1"/>
      <w:suff w:val="tab"/>
      <w:pPr>
        <w:ind w:left="1380" w:hanging="420"/>
        <w:jc w:val="both"/>
        <w:tabs>
          <w:tab w:val="left" w:pos="1380"/>
        </w:tabs>
      </w:pPr>
      <w:rPr>
        <w:rFonts w:ascii="Wingdings" w:eastAsia="Wingdings" w:hAnsi="Wingdings"/>
        <w:shd w:val="clear"/>
        <w:sz w:val="20"/>
        <w:szCs w:val="20"/>
        <w:w w:val="100"/>
      </w:rPr>
      <w:lvlText w:val="n"/>
    </w:lvl>
    <w:lvl w:ilvl="2">
      <w:lvlJc w:val="left"/>
      <w:numFmt w:val="bullet"/>
      <w:start w:val="1"/>
      <w:suff w:val="tab"/>
      <w:pPr>
        <w:ind w:left="1800" w:hanging="420"/>
        <w:jc w:val="both"/>
        <w:tabs>
          <w:tab w:val="left" w:pos="1800"/>
        </w:tabs>
      </w:pPr>
      <w:rPr>
        <w:rFonts w:ascii="Wingdings" w:eastAsia="Wingdings" w:hAnsi="Wingdings"/>
        <w:shd w:val="clear"/>
        <w:sz w:val="20"/>
        <w:szCs w:val="20"/>
        <w:w w:val="100"/>
      </w:rPr>
      <w:lvlText w:val="u"/>
    </w:lvl>
    <w:lvl w:ilvl="3">
      <w:lvlJc w:val="left"/>
      <w:numFmt w:val="bullet"/>
      <w:start w:val="1"/>
      <w:suff w:val="tab"/>
      <w:pPr>
        <w:ind w:left="2220" w:hanging="420"/>
        <w:jc w:val="both"/>
        <w:tabs>
          <w:tab w:val="left" w:pos="2220"/>
        </w:tabs>
      </w:pPr>
      <w:rPr>
        <w:rFonts w:ascii="Wingdings" w:eastAsia="Wingdings" w:hAnsi="Wingdings"/>
        <w:shd w:val="clear"/>
        <w:sz w:val="20"/>
        <w:szCs w:val="20"/>
        <w:w w:val="100"/>
      </w:rPr>
      <w:lvlText w:val="l"/>
    </w:lvl>
    <w:lvl w:ilvl="4">
      <w:lvlJc w:val="left"/>
      <w:numFmt w:val="bullet"/>
      <w:start w:val="1"/>
      <w:suff w:val="tab"/>
      <w:pPr>
        <w:ind w:left="2640" w:hanging="420"/>
        <w:jc w:val="both"/>
        <w:tabs>
          <w:tab w:val="left" w:pos="2640"/>
        </w:tabs>
      </w:pPr>
      <w:rPr>
        <w:rFonts w:ascii="Wingdings" w:eastAsia="Wingdings" w:hAnsi="Wingdings"/>
        <w:shd w:val="clear"/>
        <w:sz w:val="20"/>
        <w:szCs w:val="20"/>
        <w:w w:val="100"/>
      </w:rPr>
      <w:lvlText w:val="n"/>
    </w:lvl>
    <w:lvl w:ilvl="5">
      <w:lvlJc w:val="left"/>
      <w:numFmt w:val="bullet"/>
      <w:start w:val="1"/>
      <w:suff w:val="tab"/>
      <w:pPr>
        <w:ind w:left="3060" w:hanging="420"/>
        <w:jc w:val="both"/>
        <w:tabs>
          <w:tab w:val="left" w:pos="3060"/>
        </w:tabs>
      </w:pPr>
      <w:rPr>
        <w:rFonts w:ascii="Wingdings" w:eastAsia="Wingdings" w:hAnsi="Wingdings"/>
        <w:shd w:val="clear"/>
        <w:sz w:val="20"/>
        <w:szCs w:val="20"/>
        <w:w w:val="100"/>
      </w:rPr>
      <w:lvlText w:val="u"/>
    </w:lvl>
    <w:lvl w:ilvl="6">
      <w:lvlJc w:val="left"/>
      <w:numFmt w:val="bullet"/>
      <w:start w:val="1"/>
      <w:suff w:val="tab"/>
      <w:pPr>
        <w:ind w:left="3480" w:hanging="420"/>
        <w:jc w:val="both"/>
        <w:tabs>
          <w:tab w:val="left" w:pos="3480"/>
        </w:tabs>
      </w:pPr>
      <w:rPr>
        <w:rFonts w:ascii="Wingdings" w:eastAsia="Wingdings" w:hAnsi="Wingdings"/>
        <w:shd w:val="clear"/>
        <w:sz w:val="20"/>
        <w:szCs w:val="20"/>
        <w:w w:val="100"/>
      </w:rPr>
      <w:lvlText w:val="l"/>
    </w:lvl>
    <w:lvl w:ilvl="7">
      <w:lvlJc w:val="left"/>
      <w:numFmt w:val="bullet"/>
      <w:start w:val="1"/>
      <w:suff w:val="tab"/>
      <w:pPr>
        <w:ind w:left="3900" w:hanging="420"/>
        <w:jc w:val="both"/>
        <w:tabs>
          <w:tab w:val="left" w:pos="3900"/>
        </w:tabs>
      </w:pPr>
      <w:rPr>
        <w:rFonts w:ascii="Wingdings" w:eastAsia="Wingdings" w:hAnsi="Wingdings"/>
        <w:shd w:val="clear"/>
        <w:sz w:val="20"/>
        <w:szCs w:val="20"/>
        <w:w w:val="100"/>
      </w:rPr>
      <w:lvlText w:val="n"/>
    </w:lvl>
    <w:lvl w:ilvl="8">
      <w:lvlJc w:val="left"/>
      <w:numFmt w:val="bullet"/>
      <w:start w:val="1"/>
      <w:suff w:val="tab"/>
      <w:pPr>
        <w:ind w:left="4320" w:hanging="420"/>
        <w:jc w:val="both"/>
        <w:tabs>
          <w:tab w:val="left" w:pos="4320"/>
        </w:tabs>
      </w:pPr>
      <w:rPr>
        <w:rFonts w:ascii="Wingdings" w:eastAsia="Wingdings" w:hAnsi="Wingdings"/>
        <w:shd w:val="clear"/>
        <w:sz w:val="20"/>
        <w:szCs w:val="20"/>
        <w:w w:val="100"/>
      </w:rPr>
      <w:lvlText w:val="u"/>
    </w:lvl>
  </w:abstractNum>
  <w:abstractNum w:abstractNumId="15">
    <w:multiLevelType w:val="hybridMultilevel"/>
    <w:nsid w:val="2F00000F"/>
    <w:tmpl w:val="1F0000F5"/>
    <w:lvl w:ilvl="0">
      <w:lvlJc w:val="left"/>
      <w:numFmt w:val="bullet"/>
      <w:start w:val="1"/>
      <w:suff w:val="tab"/>
      <w:pPr>
        <w:ind w:left="420" w:hanging="420"/>
        <w:jc w:val="both"/>
        <w:tabs>
          <w:tab w:val="left" w:pos="420"/>
        </w:tabs>
      </w:pPr>
      <w:rPr>
        <w:rFonts w:ascii="Wingdings" w:eastAsia="Wingdings" w:hAnsi="Wingdings"/>
        <w:shd w:val="clear"/>
        <w:sz w:val="20"/>
        <w:szCs w:val="20"/>
        <w:w w:val="100"/>
      </w:rPr>
      <w:lvlText w:val="²"/>
    </w:lvl>
    <w:lvl w:ilvl="1">
      <w:lvlJc w:val="left"/>
      <w:numFmt w:val="bullet"/>
      <w:start w:val="1"/>
      <w:suff w:val="tab"/>
      <w:pPr>
        <w:ind w:left="840" w:hanging="420"/>
        <w:jc w:val="both"/>
        <w:tabs>
          <w:tab w:val="left" w:pos="840"/>
        </w:tabs>
      </w:pPr>
      <w:rPr>
        <w:rFonts w:ascii="Wingdings" w:eastAsia="Wingdings" w:hAnsi="Wingdings"/>
        <w:shd w:val="clear"/>
        <w:sz w:val="20"/>
        <w:szCs w:val="20"/>
        <w:w w:val="100"/>
      </w:rPr>
      <w:lvlText w:val="n"/>
    </w:lvl>
    <w:lvl w:ilvl="2">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u"/>
    </w:lvl>
    <w:lvl w:ilvl="3">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l"/>
    </w:lvl>
    <w:lvl w:ilvl="4">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n"/>
    </w:lvl>
    <w:lvl w:ilvl="5">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u"/>
    </w:lvl>
    <w:lvl w:ilvl="6">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l"/>
    </w:lvl>
    <w:lvl w:ilvl="7">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n"/>
    </w:lvl>
    <w:lvl w:ilvl="8">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u"/>
    </w:lvl>
  </w:abstractNum>
  <w:num w:numId="1">
    <w:abstractNumId w:val="2"/>
  </w:num>
  <w:num w:numId="2">
    <w:abstractNumId w:val="4"/>
  </w:num>
  <w:num w:numId="3">
    <w:abstractNumId w:val="12"/>
  </w:num>
  <w:num w:numId="4">
    <w:abstractNumId w:val="11"/>
  </w:num>
  <w:num w:numId="5">
    <w:abstractNumId w:val="3"/>
  </w:num>
  <w:num w:numId="6">
    <w:abstractNumId w:val="14"/>
  </w:num>
  <w:num w:numId="7">
    <w:abstractNumId w:val="10"/>
  </w:num>
  <w:num w:numId="8">
    <w:abstractNumId w:val="6"/>
  </w:num>
  <w:num w:numId="9">
    <w:abstractNumId w:val="7"/>
  </w:num>
  <w:num w:numId="10">
    <w:abstractNumId w:val="0"/>
  </w:num>
  <w:num w:numId="11">
    <w:abstractNumId w:val="9"/>
  </w:num>
  <w:num w:numId="12">
    <w:abstractNumId w:val="8"/>
  </w:num>
  <w:num w:numId="13">
    <w:abstractNumId w:val="15"/>
  </w:num>
  <w:num w:numId="14">
    <w:abstractNumId w:val="5"/>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420"/>
  <w:displayHorizontalDrawingGridEvery w:val="0"/>
  <w:displayVerticalDrawingGridEvery w:val="2"/>
  <w:characterSpacingControl w:val="compressPunctuation"/>
  <w:bordersDoNotSurroundHeader/>
  <w:bordersDoNotSurroundFooter/>
  <w:compat>
    <w:balanceSingleByteDoubleByteWidth/>
    <w:adjustLineHeightInTable/>
    <w:useFELayout/>
    <w:compatSetting w:name="compatibilityMode" w:uri="http://schemas.microsoft.com/office/word" w:val="15"/>
    <w:ulTrailSpace/>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autoSpaceDE w:val="1"/>
        <w:autoSpaceDN w:val="1"/>
        <w:widowControl/>
        <w:wordWrap/>
      </w:pPr>
    </w:pPrDefault>
    <w:rPrDefault>
      <w:rPr>
        <w:rFonts w:ascii="Calibri" w:eastAsia="宋体" w:hAnsi="Calibri"/>
        <w:shd w:val="clear"/>
        <w:sz w:val="21"/>
        <w:szCs w:val="21"/>
        <w:w w:val="100"/>
      </w:rPr>
    </w:rPrDefault>
  </w:docDefaults>
  <w:style w:default="1" w:styleId="PO1" w:type="paragraph">
    <w:name w:val="Normal"/>
    <w:qFormat/>
    <w:uiPriority w:val="1"/>
    <w:pPr>
      <w:autoSpaceDE w:val="1"/>
      <w:autoSpaceDN w:val="1"/>
      <w:jc w:val="both"/>
      <w:wordWrap/>
    </w:pPr>
  </w:style>
  <w:style w:default="1" w:styleId="PO2" w:type="character">
    <w:name w:val="Default Paragraph Font"/>
    <w:uiPriority w:val="2"/>
    <w:semiHidden/>
    <w:unhideWhenUsed/>
  </w:style>
  <w:style w:default="1" w:styleId="PO3" w:type="table">
    <w:name w:val="Normal Table"/>
    <w:qFormat/>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basedOn w:val="PO2"/>
    <w:qFormat/>
    <w:uiPriority w:val="20"/>
    <w:rPr>
      <w:b/>
      <w:shd w:val="clear"/>
      <w:sz w:val="20"/>
      <w:szCs w:val="20"/>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basedOn w:val="PO1"/>
    <w:qFormat/>
    <w:uiPriority w:val="26"/>
    <w:pPr>
      <w:autoSpaceDE w:val="1"/>
      <w:autoSpaceDN w:val="1"/>
      <w:ind w:firstLine="420"/>
      <w:widowControl/>
      <w:wordWrap/>
    </w:p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 w:styleId="PO38" w:type="table">
    <w:name w:val="Table Grid"/>
    <w:basedOn w:val="PO3"/>
    <w:uiPriority w:val="38"/>
    <w:tblPr>
      <w:tblBorders>
        <w:bottom w:val="single" w:color="auto" w:sz="4"/>
        <w:insideH w:val="single" w:color="auto" w:sz="4"/>
        <w:insideV w:val="single" w:color="auto" w:sz="4"/>
        <w:left w:val="single" w:color="auto" w:sz="4"/>
        <w:right w:val="single" w:color="auto" w:sz="4"/>
        <w:top w:val="single" w:color="auto" w:sz="4"/>
      </w:tblBorders>
      <w:tblCellMar>
        <w:bottom w:type="dxa" w:w="0"/>
        <w:left w:type="dxa" w:w="108"/>
        <w:right w:type="dxa" w:w="108"/>
        <w:top w:type="dxa" w:w="0"/>
      </w:tblCellMar>
      <w:tblInd w:type="dxa" w:w="0"/>
    </w:tblPr>
  </w:style>
  <w:style w:styleId="PO152" w:type="paragraph">
    <w:name w:val="header"/>
    <w:basedOn w:val="PO1"/>
    <w:link w:val="PO153"/>
    <w:uiPriority w:val="152"/>
    <w:unhideWhenUsed/>
    <w:pPr>
      <w:autoSpaceDE w:val="1"/>
      <w:autoSpaceDN w:val="1"/>
      <w:jc w:val="center"/>
      <w:tabs>
        <w:tab w:val="center" w:pos="4153"/>
        <w:tab w:val="right" w:pos="8306"/>
      </w:tabs>
      <w:widowControl/>
      <w:wordWrap/>
    </w:pPr>
    <w:rPr>
      <w:shd w:val="clear"/>
      <w:sz w:val="18"/>
      <w:szCs w:val="18"/>
      <w:w w:val="100"/>
    </w:rPr>
  </w:style>
  <w:style w:customStyle="1" w:styleId="PO153" w:type="character">
    <w:name w:val="页眉 Char"/>
    <w:basedOn w:val="PO2"/>
    <w:link w:val="PO152"/>
    <w:uiPriority w:val="153"/>
    <w:rPr>
      <w:shd w:val="clear"/>
      <w:sz w:val="18"/>
      <w:szCs w:val="18"/>
      <w:w w:val="100"/>
    </w:rPr>
  </w:style>
  <w:style w:styleId="PO154" w:type="paragraph">
    <w:name w:val="footer"/>
    <w:basedOn w:val="PO1"/>
    <w:link w:val="PO155"/>
    <w:uiPriority w:val="154"/>
    <w:unhideWhenUsed/>
    <w:pPr>
      <w:autoSpaceDE w:val="1"/>
      <w:autoSpaceDN w:val="1"/>
      <w:tabs>
        <w:tab w:val="center" w:pos="4153"/>
        <w:tab w:val="right" w:pos="8306"/>
      </w:tabs>
      <w:widowControl/>
      <w:wordWrap/>
    </w:pPr>
    <w:rPr>
      <w:shd w:val="clear"/>
      <w:sz w:val="18"/>
      <w:szCs w:val="18"/>
      <w:w w:val="100"/>
    </w:rPr>
  </w:style>
  <w:style w:customStyle="1" w:styleId="PO155" w:type="character">
    <w:name w:val="页脚 Char"/>
    <w:basedOn w:val="PO2"/>
    <w:link w:val="PO154"/>
    <w:uiPriority w:val="155"/>
    <w:rPr>
      <w:shd w:val="clear"/>
      <w:sz w:val="18"/>
      <w:szCs w:val="18"/>
      <w:w w:val="100"/>
    </w:rPr>
  </w:style>
  <w:style w:styleId="PO156" w:type="character">
    <w:name w:val="Hyperlink"/>
    <w:basedOn w:val="PO2"/>
    <w:uiPriority w:val="156"/>
    <w:unhideWhenUsed/>
    <w:rPr>
      <w:color w:val="0000FF" w:themeColor="hyperlink"/>
      <w:shd w:val="clear"/>
      <w:sz w:val="20"/>
      <w:szCs w:val="20"/>
      <w:u w:val="single"/>
      <w:w w:val="100"/>
    </w:rPr>
  </w:style>
  <w:style w:styleId="PO157" w:type="character">
    <w:name w:val="FollowedHyperlink"/>
    <w:basedOn w:val="PO2"/>
    <w:uiPriority w:val="157"/>
    <w:semiHidden/>
    <w:unhideWhenUsed/>
    <w:rPr>
      <w:color w:val="800080" w:themeColor="followedHyperlink"/>
      <w:shd w:val="clear"/>
      <w:sz w:val="20"/>
      <w:szCs w:val="20"/>
      <w:u w:val="single"/>
      <w:w w:val="100"/>
    </w:rPr>
  </w:style>
  <w:style w:customStyle="1" w:styleId="PO158" w:type="character">
    <w:name w:val="style231"/>
    <w:uiPriority w:val="158"/>
    <w:rPr>
      <w:color w:val="3E171A"/>
      <w:shd w:val="clear"/>
      <w:sz w:val="24"/>
      <w:szCs w:val="24"/>
      <w:w w:val="100"/>
    </w:rPr>
  </w:style>
  <w:style w:styleId="PO159" w:type="paragraph">
    <w:name w:val="Normal (Web)"/>
    <w:basedOn w:val="PO1"/>
    <w:uiPriority w:val="159"/>
    <w:pPr>
      <w:autoSpaceDE w:val="1"/>
      <w:autoSpaceDN w:val="1"/>
      <w:widowControl/>
      <w:wordWrap/>
    </w:pPr>
    <w:rPr>
      <w:color w:val="000000"/>
      <w:rFonts w:ascii="宋体" w:eastAsia="宋体" w:hAnsi="宋体"/>
      <w:shd w:val="clear"/>
      <w:sz w:val="24"/>
      <w:szCs w:val="24"/>
      <w:w w:val="100"/>
    </w:rPr>
  </w:style>
  <w:style w:styleId="PO160" w:type="paragraph">
    <w:name w:val="Balloon Text"/>
    <w:basedOn w:val="PO1"/>
    <w:link w:val="PO161"/>
    <w:uiPriority w:val="160"/>
    <w:semiHidden/>
    <w:unhideWhenUsed/>
    <w:rPr>
      <w:shd w:val="clear"/>
      <w:sz w:val="18"/>
      <w:szCs w:val="18"/>
      <w:w w:val="100"/>
    </w:rPr>
  </w:style>
  <w:style w:customStyle="1" w:styleId="PO161" w:type="character">
    <w:name w:val="批注框文本 Char"/>
    <w:basedOn w:val="PO2"/>
    <w:link w:val="PO160"/>
    <w:uiPriority w:val="161"/>
    <w:semiHidden/>
    <w:rPr>
      <w:shd w:val="clear"/>
      <w:sz w:val="18"/>
      <w:szCs w:val="18"/>
      <w:w w:val="100"/>
    </w:rPr>
  </w:style>
  <w:style w:customStyle="1" w:styleId="PO162" w:type="character">
    <w:name w:val="apple-converted-space"/>
    <w:basedOn w:val="PO2"/>
    <w:uiPriority w:val="1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image" Target="media/image1.png"></Relationship><Relationship Id="rId6" Type="http://schemas.openxmlformats.org/officeDocument/2006/relationships/hyperlink" Target="mailto:davidliu838@sina.com" TargetMode="External"></Relationship><Relationship Id="rId7" Type="http://schemas.openxmlformats.org/officeDocument/2006/relationships/hyperlink" Target="http://www.svtcc.edu.cn/" TargetMode="External"></Relationship><Relationship Id="rId8" Type="http://schemas.openxmlformats.org/officeDocument/2006/relationships/hyperlink" Target="http://www.svtcc.edu.cn/" TargetMode="External"></Relationship><Relationship Id="rId9" Type="http://schemas.openxmlformats.org/officeDocument/2006/relationships/numbering" Target="numbering.xml"></Relationship><Relationship Id="rId10" Type="http://schemas.openxmlformats.org/officeDocument/2006/relationships/theme" Target="theme/theme1.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16358</Characters>
  <CharactersWithSpaces>0</CharactersWithSpaces>
  <Company>User</Company>
  <DocSecurity>0</DocSecurity>
  <HyperlinksChanged>false</HyperlinksChanged>
  <Lines>116</Lines>
  <LinksUpToDate>false</LinksUpToDate>
  <Pages>11</Pages>
  <Paragraphs>32</Paragraphs>
  <Words>2446</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马静</dc:creator>
  <cp:lastModifiedBy/>
  <dcterms:modified xsi:type="dcterms:W3CDTF">2018-04-09T02:09:00Z</dcterms:modified>
</cp:coreProperties>
</file>