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Application Guide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 for International Visiting Students Wishing to Study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 at Sichuan Vocational and Technical College of Communications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fldChar w:fldCharType="begin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  <w:rFonts w:hint="eastAsia"/>
        </w:rPr>
        <w:instrText>= 1 \* ROMAN</w:instrText>
      </w:r>
      <w:r>
        <w:fldChar w:fldCharType="separate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I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fldChar w:fldCharType="end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． SVTCC Profile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4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Sichuan Vocational and Technical College of Communications (hereinafter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referred to as SVTCC), is a public college which was established in 1952 and is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affiliated to the Sichuan Provincial Department of Transportation. It is accredited as a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model for higher vocational education by the Ministry of Education of China, namely,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one of the 100 top vocational colleges across China. It is a pilot college for high-end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technological and skilled undergraduate programs in Sichuan Province, a national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model college for employment competitiveness, a national advanced unit of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vocational education and a national civilization unit.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4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SVTCC is located in Wenjiang District, Chengdu City, covering an area of 1033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mu, with more than 13000 students enrolled. The academic part of SVTCC is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organized into 10 departments, namely, Department of Road and Bridge Engineering,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Department of Automotive Engineering, Department of Economic Management,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Department of Information Engineering, Department of Electro-mechanical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Engineering, Department of Architectural Engineering, Department of Humanities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and Art, Department of Transportation Engineering, Department of Marine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Engineering and Department of Rail Transport Engineering, offering 2 undergraduate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programs and 45 diploma programs, including 4 national demonstration programs, 4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provincial demonstration programs and 4 provincial key programs. There are about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1000 faculty staff, including 27 professors, professorate senior engineers and research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fellows, about 150 associate professors, senior engineers, associate researchers and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teachers with Ph. D , 4 provincial-level teaching teams, 1 State Council Expert for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Special Allowance, 1 teaching master of "Ten thousand plan" of CPC Central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Organization Department, 1 teaching master of the Special Support Plan for National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High Level Talents, 1 national model teacher, 1 leading expert in academics and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technology in Sichuan Province, 4 teaching masters of Sichuan Province, 5 leading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program experts of the Transportation Vocational Education Society of the Ministry of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Transportation of China.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4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The library houses a collection of 1,200,000 volumes of books. The total value of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the teaching facilities is 190 million RMB yuan and the fixed assets are 580 million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RMB yuan. There is 1 national training base. The on-campus training area is 110,000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square meters and there are more than 200 off-campus training bases.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4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Policy of Running School: Transportation-based, Market-oriented, Serving the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Society.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4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Education model: Trade Dominated, Associations Connected, Enterprises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Cooperated.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4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Features of Running School: Cooperating with Renowned Institutions and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Companies Home and Abroad; Serving positively the Communications Sector and the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Regional Economy.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4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Mission of Running School: First-class faculty staff, First-class professionals,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First-class vocational college.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4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Over the past decades, SVTCC has nurtured tens of thousands of graduates for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the society, with the employment rate over 96%. Most of them have been playing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important and irreplaceable roles in the communications sector, dedicating themselves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to the social and economic development of Sichuan and even the western China. The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quality of education and training is widely recognized by the society. There are many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outstanding graduates and students, represented by Mr. Mou Tingmin the well-known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bridge design master in China and Mr. Yang Wenhao the second-year student who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won the silver medal of "car technology "project in the 44th World Skills Competition.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4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In the situation of educational globalization, SVTCC attaches great importance to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international exchanges. It has endeavored strenuously to develop joint programs,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faculty and student exchanges, curriculum cooperation, etc. with foreign educational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institutions and well-known companies. Over the past years, it signed agreements for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cooperation with Canada British Columbia Institute of Technology, and inked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memorandums of understanding for cooperation with Germany F+U, Canada Red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River College, Austria HTL Braunau, Australia West Sydney Institute, Malaysia UM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and Hong Kong VTC, and implemented the short-term studies programs for students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with Taiwan Chaoyang University of Technology and Taipei City University of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Technology. It has established training bases jointly with TOYOTA, BMW, AUDI,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VALKSWAGON, PEUGEOT, CITROEN, etc. for professional qualification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certificate training. In recent years, educational institutions from Canada, UK,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Germany, Russia, Australia, New Zealand, Japan, South Korea, Singapore, Malaysia,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etc., paid visits to SVTCC and established friendly relationship, laying a good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foundation for potential cooperation.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fldChar w:fldCharType="begin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  <w:rFonts w:hint="eastAsia"/>
        </w:rPr>
        <w:instrText>= 2 \* ROMAN</w:instrText>
      </w:r>
      <w:r>
        <w:fldChar w:fldCharType="separate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II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fldChar w:fldCharType="end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.  Short-Term Programs for International Visiting students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1 . Chinese language (mandarin) Training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789" w:type="dxa"/>
        <w:tblInd w:w="-176" w:type="dxa"/>
        <w:tblLook w:val="0000A0" w:firstRow="1" w:lastRow="0" w:firstColumn="1" w:lastColumn="0" w:noHBand="0" w:noVBand="0"/>
        <w:tblLayout w:type="fixed"/>
      </w:tblPr>
      <w:tblGrid>
        <w:gridCol w:w="1872"/>
        <w:gridCol w:w="691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1872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Opening time</w:t>
            </w:r>
          </w:p>
        </w:tc>
        <w:tc>
          <w:tcPr>
            <w:tcW w:type="dxa" w:w="6917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the spring classes: every March;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the autumn classes: every September;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87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Eligibility and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duration</w:t>
            </w:r>
          </w:p>
        </w:tc>
        <w:tc>
          <w:tcPr>
            <w:tcW w:type="dxa" w:w="69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pStyle w:val="PO26"/>
              <w:bidi w:val="0"/>
              <w:numPr>
                <w:ilvl w:val="0"/>
                <w:numId w:val="1"/>
              </w:numPr>
              <w:jc w:val="both"/>
              <w:spacing w:lineRule="auto" w:line="360" w:before="0" w:after="0"/>
              <w:ind w:right="0" w:left="360" w:hanging="36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1 year for those with no prior training for Chinese language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(mandarin)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187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69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</w:tcPr>
          <w:p>
            <w:pPr>
              <w:pStyle w:val="PO26"/>
              <w:bidi w:val="0"/>
              <w:numPr>
                <w:ilvl w:val="0"/>
                <w:numId w:val="1"/>
              </w:numPr>
              <w:jc w:val="both"/>
              <w:spacing w:lineRule="auto" w:line="360" w:before="0" w:after="0"/>
              <w:ind w:right="0" w:left="360" w:hanging="36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0.5 year for candidates of SVTCC diploma programs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87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Certificate</w:t>
            </w:r>
          </w:p>
        </w:tc>
        <w:tc>
          <w:tcPr>
            <w:tcW w:type="dxa" w:w="69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Those who complete the training within the given period and pass the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exam can obtain the certificate of achievement.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187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Class time</w:t>
            </w:r>
          </w:p>
        </w:tc>
        <w:tc>
          <w:tcPr>
            <w:tcW w:type="dxa" w:w="69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From Monday to Friday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2. Chinese Cultural Studies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31" w:type="dxa"/>
        <w:tblInd w:w="-176" w:type="dxa"/>
        <w:tblLook w:val="0000A0" w:firstRow="1" w:lastRow="0" w:firstColumn="1" w:lastColumn="0" w:noHBand="0" w:noVBand="0"/>
        <w:tblLayout w:type="fixed"/>
      </w:tblPr>
      <w:tblGrid>
        <w:gridCol w:w="1985"/>
        <w:gridCol w:w="694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1985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Opening time</w:t>
            </w:r>
          </w:p>
        </w:tc>
        <w:tc>
          <w:tcPr>
            <w:tcW w:type="dxa" w:w="6946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Open on condition of 10 students being enrolled all the year round.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98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Program</w:t>
            </w:r>
          </w:p>
        </w:tc>
        <w:tc>
          <w:tcPr>
            <w:tcW w:type="dxa" w:w="694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Martial arts, tea art, calligraphy, traditional Chinese painting, Sichuan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opera, Tai Chi, etc.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1985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Eligibility and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duration</w:t>
            </w:r>
          </w:p>
        </w:tc>
        <w:tc>
          <w:tcPr>
            <w:tcW w:type="dxa" w:w="694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Any overseas citizen interested in China and Chinese culture is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eligible; the training periods last from 10 to 90 days.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198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Certificate</w:t>
            </w:r>
          </w:p>
        </w:tc>
        <w:tc>
          <w:tcPr>
            <w:tcW w:type="dxa" w:w="694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Those who complete the training within the given period and pass the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exam can obtain the certificate of achievement.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fldChar w:fldCharType="begin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  <w:rFonts w:hint="eastAsia"/>
        </w:rPr>
        <w:instrText>= 3 \* ROMAN</w:instrText>
      </w:r>
      <w:r>
        <w:fldChar w:fldCharType="separate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III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fldChar w:fldCharType="end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．Application Prerequisite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924" w:type="dxa"/>
        <w:tblInd w:w="-176" w:type="dxa"/>
        <w:tblLook w:val="0000A0" w:firstRow="1" w:lastRow="0" w:firstColumn="1" w:lastColumn="0" w:noHBand="0" w:noVBand="0"/>
        <w:tblLayout w:type="fixed"/>
      </w:tblPr>
      <w:tblGrid>
        <w:gridCol w:w="2984"/>
        <w:gridCol w:w="4140"/>
        <w:gridCol w:w="180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355"/>
          <w:hidden w:val="0"/>
        </w:trPr>
        <w:tc>
          <w:tcPr>
            <w:tcW w:type="dxa" w:w="2984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Category</w:t>
            </w:r>
          </w:p>
        </w:tc>
        <w:tc>
          <w:tcPr>
            <w:tcW w:type="dxa" w:w="4140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Eligibility</w:t>
            </w:r>
          </w:p>
        </w:tc>
        <w:tc>
          <w:tcPr>
            <w:tcW w:type="dxa" w:w="1800"/>
            <w:cnfStyle w:val="100001000100" w:firstRow="1" w:lastRow="0" w:firstColumn="0" w:lastColumn="0" w:oddVBand="0" w:evenVBand="1" w:oddHBand="0" w:evenHBand="0" w:firstRowFirstColumn="0" w:firstRowLastColumn="1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Age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08"/>
          <w:hidden w:val="0"/>
        </w:trPr>
        <w:tc>
          <w:tcPr>
            <w:tcW w:type="dxa" w:w="298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Visiting students for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Chinese language training</w:t>
            </w:r>
          </w:p>
        </w:tc>
        <w:tc>
          <w:tcPr>
            <w:tcW w:type="dxa" w:w="414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Senior high school graduate or above</w:t>
            </w:r>
          </w:p>
        </w:tc>
        <w:tc>
          <w:tcPr>
            <w:tcW w:type="dxa" w:w="180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Non-limited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47"/>
          <w:hidden w:val="0"/>
        </w:trPr>
        <w:tc>
          <w:tcPr>
            <w:tcW w:type="dxa" w:w="2984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Visiting students for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Chinese cultural studies</w:t>
            </w:r>
          </w:p>
        </w:tc>
        <w:tc>
          <w:tcPr>
            <w:tcW w:type="dxa" w:w="41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Non-limited</w:t>
            </w:r>
          </w:p>
        </w:tc>
        <w:tc>
          <w:tcPr>
            <w:tcW w:type="dxa" w:w="180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Non-limited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Notes: all applicants are required to submit the following materials: the application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form, the photo copy of the passport, the photo copy of the certificate/diploma, the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physical examination form, the 2 passport photos, and the resume.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fldChar w:fldCharType="begin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  <w:rFonts w:hint="eastAsia"/>
        </w:rPr>
        <w:instrText>= 4 \* ROMAN</w:instrText>
      </w:r>
      <w:r>
        <w:fldChar w:fldCharType="separate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IV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fldChar w:fldCharType="end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．Tuition and Certificate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755" w:type="dxa"/>
        <w:tblLook w:val="0000A0" w:firstRow="1" w:lastRow="0" w:firstColumn="1" w:lastColumn="0" w:noHBand="0" w:noVBand="0"/>
        <w:tblLayout w:type="fixed"/>
      </w:tblPr>
      <w:tblGrid>
        <w:gridCol w:w="2093"/>
        <w:gridCol w:w="3118"/>
        <w:gridCol w:w="1843"/>
        <w:gridCol w:w="170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2093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Category</w:t>
            </w:r>
          </w:p>
        </w:tc>
        <w:tc>
          <w:tcPr>
            <w:tcW w:type="dxa" w:w="3118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Tuition</w:t>
            </w:r>
          </w:p>
        </w:tc>
        <w:tc>
          <w:tcPr>
            <w:tcW w:type="dxa" w:w="1843"/>
            <w:cnfStyle w:val="100001000000" w:firstRow="1" w:lastRow="0" w:firstColumn="0" w:lastColumn="0" w:oddVBand="0" w:evenVBand="1" w:oddHBand="0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Certificate</w:t>
            </w:r>
          </w:p>
        </w:tc>
        <w:tc>
          <w:tcPr>
            <w:tcW w:type="dxa" w:w="1701"/>
            <w:cnfStyle w:val="100010000100" w:firstRow="1" w:lastRow="0" w:firstColumn="0" w:lastColumn="0" w:oddVBand="1" w:evenVBand="0" w:oddHBand="0" w:evenHBand="0" w:firstRowFirstColumn="0" w:firstRowLastColumn="1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Remarks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2093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Visiting students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for Chinese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language training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311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RMB 12,000 yuan /year</w:t>
            </w:r>
          </w:p>
        </w:tc>
        <w:tc>
          <w:tcPr>
            <w:tcW w:type="dxa" w:w="184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Certificate of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Achievement</w:t>
            </w:r>
          </w:p>
        </w:tc>
        <w:tc>
          <w:tcPr>
            <w:tcW w:type="dxa" w:w="17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Pass the given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test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2093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311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 RMB 6,000 yuan /5 months</w:t>
            </w:r>
          </w:p>
        </w:tc>
        <w:tc>
          <w:tcPr>
            <w:tcW w:type="dxa" w:w="184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7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2093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311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RMB 4,000 yuan /3 months</w:t>
            </w:r>
          </w:p>
        </w:tc>
        <w:tc>
          <w:tcPr>
            <w:tcW w:type="dxa" w:w="184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7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9"/>
          <w:hidden w:val="0"/>
        </w:trPr>
        <w:tc>
          <w:tcPr>
            <w:tcW w:type="dxa" w:w="2093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311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tcBorders>
              <w:top w:val="single" w:color="auto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RMB 2,000 yuan /month</w:t>
            </w:r>
          </w:p>
        </w:tc>
        <w:tc>
          <w:tcPr>
            <w:tcW w:type="dxa" w:w="184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7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</w:tr>
    </w:tbl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Other expenses：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A. Registration fee: RMB 500 yuan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B. Textbooks fee: about 400 RMB yuan for Chinese-language-training students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C. Accommodation Fee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0A0" w:firstRow="1" w:lastRow="0" w:firstColumn="1" w:lastColumn="0" w:noHBand="0" w:noVBand="0"/>
        <w:tblLayout w:type="auto"/>
      </w:tblPr>
      <w:tblGrid>
        <w:gridCol w:w="2840"/>
        <w:gridCol w:w="2841"/>
        <w:gridCol w:w="284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2840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Type of Room</w:t>
            </w:r>
          </w:p>
        </w:tc>
        <w:tc>
          <w:tcPr>
            <w:tcW w:type="dxa" w:w="2841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Facility</w:t>
            </w:r>
          </w:p>
        </w:tc>
        <w:tc>
          <w:tcPr>
            <w:tcW w:type="dxa" w:w="2841"/>
            <w:cnfStyle w:val="100001000100" w:firstRow="1" w:lastRow="0" w:firstColumn="0" w:lastColumn="0" w:oddVBand="0" w:evenVBand="1" w:oddHBand="0" w:evenHBand="0" w:firstRowFirstColumn="0" w:firstRowLastColumn="1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Price（RMB）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829"/>
          <w:hidden w:val="0"/>
        </w:trPr>
        <w:tc>
          <w:tcPr>
            <w:tcW w:type="dxa" w:w="284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auto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4-bed Room</w:t>
            </w:r>
          </w:p>
        </w:tc>
        <w:tc>
          <w:tcPr>
            <w:tcW w:type="dxa" w:w="284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Air-conditioner, furniture,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internet access, etc.</w:t>
            </w:r>
          </w:p>
        </w:tc>
        <w:tc>
          <w:tcPr>
            <w:tcW w:type="dxa" w:w="284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1,000 yuan/semester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847"/>
          <w:hidden w:val="0"/>
        </w:trPr>
        <w:tc>
          <w:tcPr>
            <w:tcW w:type="dxa" w:w="284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tcBorders>
              <w:top w:val="single" w:color="auto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4-bed Room</w:t>
            </w:r>
          </w:p>
        </w:tc>
        <w:tc>
          <w:tcPr>
            <w:tcW w:type="dxa" w:w="284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top w:val="single" w:color="auto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Air-conditioner, furniture,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internet access, etc.</w:t>
            </w:r>
          </w:p>
        </w:tc>
        <w:tc>
          <w:tcPr>
            <w:tcW w:type="dxa" w:w="284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top w:val="single" w:color="auto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20 yuan/day（short-term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program）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D. Visa Fee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left="240" w:hanging="24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E. Insurance premium : 500~1000 RMB yuan / year / person.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F. Physical Examination Fee.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left="1080" w:hanging="10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Notes: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left="1080" w:hanging="10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1. International students shall be registered for temporary residence in the local public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left="1080" w:hanging="10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  security department within 24 hours of entry. Students who are not registered for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left="1080" w:hanging="108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  temporary residence will be fined according to relevant Chinese laws.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2. All the fees shall be paid in RMB only.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3. The price for D,E and F is only for reference. It is subjected to the real time costs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and paid by the students themselves. 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fldChar w:fldCharType="begin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  <w:rFonts w:hint="eastAsia"/>
        </w:rPr>
        <w:instrText>= 5 \* ROMAN</w:instrText>
      </w:r>
      <w:r>
        <w:fldChar w:fldCharType="separate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V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fldChar w:fldCharType="end"/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． Application procedure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1. Send e-mail to davidliu838@sina.com to ask for the application form and fill in it.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2. Send to davidliu838@sina.com the application form, the highest education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certificate, the photo copy of the passport, the photos, the health certificate, the study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plan, etc. prior to June 30th or December 31st each year.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3. Review and admission.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4.Pay registration fee.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5. Wait for the admission notice.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6. Apply for visa in the Chinese Embassy in the applicant’s home country.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7. Inform the arrival date in advance and arrive at the designated dorm within the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valid period.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8. Register, conduct physical examination, pay for the tuition and accommodation and 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  apply for residence permit according to the designated dates.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2F000000"/>
    <w:tmpl w:val="1F000014"/>
    <w:lvl w:ilvl="0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1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2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3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4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5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6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7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8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</w:abstractNum>
  <w:abstractNum w:abstractNumId="1">
    <w:multiLevelType w:val="hybridMultilevel"/>
    <w:nsid w:val="2F000001"/>
    <w:tmpl w:val="1F002411"/>
    <w:lvl w:ilvl="0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1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2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3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4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5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6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7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8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</w:abstractNum>
  <w:abstractNum w:abstractNumId="2">
    <w:multiLevelType w:val="hybridMultilevel"/>
    <w:nsid w:val="2F000002"/>
    <w:tmpl w:val="1F000C5F"/>
    <w:lvl w:ilvl="0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1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2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3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4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5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6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7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8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</w:abstractNum>
  <w:abstractNum w:abstractNumId="3">
    <w:multiLevelType w:val="hybridMultilevel"/>
    <w:nsid w:val="2F000003"/>
    <w:tmpl w:val="1F0033C2"/>
    <w:lvl w:ilvl="0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1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2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3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4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5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6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7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8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</w:abstractNum>
  <w:abstractNum w:abstractNumId="4">
    <w:multiLevelType w:val="hybridMultilevel"/>
    <w:nsid w:val="2F000004"/>
    <w:tmpl w:val="1F002570"/>
    <w:lvl w:ilvl="0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2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3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5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6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8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</w:abstractNum>
  <w:abstractNum w:abstractNumId="5">
    <w:multiLevelType w:val="hybridMultilevel"/>
    <w:nsid w:val="2F000005"/>
    <w:tmpl w:val="1F001EB6"/>
    <w:lvl w:ilvl="0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2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3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5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6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8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</w:abstractNum>
  <w:abstractNum w:abstractNumId="6">
    <w:multiLevelType w:val="hybridMultilevel"/>
    <w:nsid w:val="2F000006"/>
    <w:tmpl w:val="1F00166B"/>
    <w:lvl w:ilvl="0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2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3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5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6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8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</w:abstractNum>
  <w:abstractNum w:abstractNumId="7">
    <w:multiLevelType w:val="hybridMultilevel"/>
    <w:nsid w:val="2F000007"/>
    <w:tmpl w:val="1F003957"/>
    <w:lvl w:ilvl="0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2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3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5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6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8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</w:abstractNum>
  <w:abstractNum w:abstractNumId="8">
    <w:multiLevelType w:val="hybridMultilevel"/>
    <w:nsid w:val="2F000008"/>
    <w:tmpl w:val="1F0034A9"/>
    <w:lvl w:ilvl="0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1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2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3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4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5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6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7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8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</w:abstractNum>
  <w:abstractNum w:abstractNumId="9">
    <w:multiLevelType w:val="hybridMultilevel"/>
    <w:nsid w:val="2F000009"/>
    <w:tmpl w:val="1F002FC8"/>
    <w:lvl w:ilvl="0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2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3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5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6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8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</w:abstractNum>
  <w:abstractNum w:abstractNumId="10">
    <w:multiLevelType w:val="hybridMultilevel"/>
    <w:nsid w:val="2F00000A"/>
    <w:tmpl w:val="1F000B24"/>
    <w:lvl w:ilvl="0">
      <w:lvlJc w:val="left"/>
      <w:numFmt w:val="decimal"/>
      <w:start w:val="1"/>
      <w:suff w:val="tab"/>
      <w:pPr>
        <w:ind w:left="360" w:hanging="360"/>
        <w:jc w:val="both"/>
      </w:pPr>
      <w:rPr>
        <w:shd w:val="clear"/>
        <w:sz w:val="20"/>
        <w:szCs w:val="20"/>
        <w:w w:val="100"/>
      </w:rPr>
      <w:lvlText w:val="(%1)"/>
    </w:lvl>
    <w:lvl w:ilvl="1">
      <w:lvlJc w:val="left"/>
      <w:numFmt w:val="lowerLetter"/>
      <w:start w:val="1"/>
      <w:suff w:val="tab"/>
      <w:pPr>
        <w:ind w:left="840" w:hanging="420"/>
        <w:jc w:val="both"/>
      </w:pPr>
      <w:rPr>
        <w:shd w:val="clear"/>
        <w:sz w:val="20"/>
        <w:szCs w:val="20"/>
        <w:w w:val="100"/>
      </w:rPr>
      <w:lvlText w:val="%2)"/>
    </w:lvl>
    <w:lvl w:ilvl="2">
      <w:lvlJc w:val="right"/>
      <w:numFmt w:val="lowerRoman"/>
      <w:start w:val="1"/>
      <w:suff w:val="tab"/>
      <w:pPr>
        <w:ind w:left="1260" w:hanging="420"/>
        <w:jc w:val="both"/>
      </w:pPr>
      <w:rPr>
        <w:shd w:val="clear"/>
        <w:sz w:val="20"/>
        <w:szCs w:val="20"/>
        <w:w w:val="100"/>
      </w:rPr>
      <w:lvlText w:val="%3."/>
    </w:lvl>
    <w:lvl w:ilvl="3">
      <w:lvlJc w:val="left"/>
      <w:numFmt w:val="decimal"/>
      <w:start w:val="1"/>
      <w:suff w:val="tab"/>
      <w:pPr>
        <w:ind w:left="1680" w:hanging="420"/>
        <w:jc w:val="both"/>
      </w:pPr>
      <w:rPr>
        <w:shd w:val="clear"/>
        <w:sz w:val="20"/>
        <w:szCs w:val="20"/>
        <w:w w:val="100"/>
      </w:rPr>
      <w:lvlText w:val="%4."/>
    </w:lvl>
    <w:lvl w:ilvl="4">
      <w:lvlJc w:val="left"/>
      <w:numFmt w:val="lowerLetter"/>
      <w:start w:val="1"/>
      <w:suff w:val="tab"/>
      <w:pPr>
        <w:ind w:left="2100" w:hanging="420"/>
        <w:jc w:val="both"/>
      </w:pPr>
      <w:rPr>
        <w:shd w:val="clear"/>
        <w:sz w:val="20"/>
        <w:szCs w:val="20"/>
        <w:w w:val="100"/>
      </w:rPr>
      <w:lvlText w:val="%5)"/>
    </w:lvl>
    <w:lvl w:ilvl="5">
      <w:lvlJc w:val="right"/>
      <w:numFmt w:val="lowerRoman"/>
      <w:start w:val="1"/>
      <w:suff w:val="tab"/>
      <w:pPr>
        <w:ind w:left="2520" w:hanging="420"/>
        <w:jc w:val="both"/>
      </w:pPr>
      <w:rPr>
        <w:shd w:val="clear"/>
        <w:sz w:val="20"/>
        <w:szCs w:val="20"/>
        <w:w w:val="100"/>
      </w:rPr>
      <w:lvlText w:val="%6."/>
    </w:lvl>
    <w:lvl w:ilvl="6">
      <w:lvlJc w:val="left"/>
      <w:numFmt w:val="decimal"/>
      <w:start w:val="1"/>
      <w:suff w:val="tab"/>
      <w:pPr>
        <w:ind w:left="2940" w:hanging="420"/>
        <w:jc w:val="both"/>
      </w:pPr>
      <w:rPr>
        <w:shd w:val="clear"/>
        <w:sz w:val="20"/>
        <w:szCs w:val="20"/>
        <w:w w:val="100"/>
      </w:rPr>
      <w:lvlText w:val="%7."/>
    </w:lvl>
    <w:lvl w:ilvl="7">
      <w:lvlJc w:val="left"/>
      <w:numFmt w:val="lowerLetter"/>
      <w:start w:val="1"/>
      <w:suff w:val="tab"/>
      <w:pPr>
        <w:ind w:left="3360" w:hanging="420"/>
        <w:jc w:val="both"/>
      </w:pPr>
      <w:rPr>
        <w:shd w:val="clear"/>
        <w:sz w:val="20"/>
        <w:szCs w:val="20"/>
        <w:w w:val="100"/>
      </w:rPr>
      <w:lvlText w:val="%8)"/>
    </w:lvl>
    <w:lvl w:ilvl="8">
      <w:lvlJc w:val="right"/>
      <w:numFmt w:val="lowerRoman"/>
      <w:start w:val="1"/>
      <w:suff w:val="tab"/>
      <w:pPr>
        <w:ind w:left="3780" w:hanging="420"/>
        <w:jc w:val="both"/>
      </w:pPr>
      <w:rPr>
        <w:shd w:val="clear"/>
        <w:sz w:val="20"/>
        <w:szCs w:val="20"/>
        <w:w w:val="100"/>
      </w:rPr>
      <w:lvlText w:val="%9."/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noLineBreaksAfter w:lang="ko-KR" w:val="$([{£¥·‘“〈《「『【〔〖〝﹙﹛﹝＄（．［｛￡￥"/>
  <w:noLineBreaksBefore w:lang="ko-KR" w:val="$([{£¥·‘“〈《「『【〔〖〝﹙﹛﹝＄（．［｛￡￥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Times New Roman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firstLine="420"/>
      <w:widowControl/>
      <w:wordWrap/>
    </w:p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basedOn w:val="PO3"/>
    <w:uiPriority w:val="38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3" w:type="character">
    <w:name w:val="页眉 Char"/>
    <w:link w:val="PO152"/>
    <w:uiPriority w:val="153"/>
    <w:rPr>
      <w:rFonts w:ascii="宋体" w:eastAsia="Times New Roman" w:hAnsi="宋体"/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5" w:type="character">
    <w:name w:val="页脚 Char"/>
    <w:link w:val="PO154"/>
    <w:uiPriority w:val="155"/>
    <w:rPr>
      <w:rFonts w:ascii="宋体" w:eastAsia="Times New Roman" w:hAnsi="宋体"/>
      <w:shd w:val="clear"/>
      <w:sz w:val="18"/>
      <w:szCs w:val="18"/>
      <w:w w:val="100"/>
    </w:rPr>
  </w:style>
  <w:style w:styleId="PO156" w:type="character">
    <w:name w:val="Hyperlink"/>
    <w:uiPriority w:val="156"/>
    <w:rPr>
      <w:color w:val="0000FF"/>
      <w:rFonts w:ascii="宋体" w:eastAsia="Times New Roman" w:hAnsi="宋体"/>
      <w:shd w:val="clear"/>
      <w:sz w:val="20"/>
      <w:szCs w:val="20"/>
      <w:u w:val="single"/>
      <w:w w:val="100"/>
    </w:rPr>
  </w:style>
  <w:style w:styleId="PO157" w:type="character">
    <w:name w:val="FollowedHyperlink"/>
    <w:uiPriority w:val="157"/>
    <w:semiHidden/>
    <w:rPr>
      <w:color w:val="800080"/>
      <w:rFonts w:ascii="宋体" w:eastAsia="Times New Roman" w:hAnsi="宋体"/>
      <w:shd w:val="clear"/>
      <w:sz w:val="20"/>
      <w:szCs w:val="20"/>
      <w:u w:val="single"/>
      <w:w w:val="100"/>
    </w:rPr>
  </w:style>
  <w:style w:styleId="PO158" w:type="paragraph">
    <w:name w:val="Normal (Web)"/>
    <w:basedOn w:val="PO1"/>
    <w:uiPriority w:val="158"/>
    <w:pPr>
      <w:autoSpaceDE w:val="1"/>
      <w:autoSpaceDN w:val="1"/>
      <w:widowControl/>
      <w:wordWrap/>
    </w:pPr>
    <w:rPr>
      <w:color w:val="000000"/>
      <w:rFonts w:ascii="宋体" w:eastAsia="宋体" w:hAnsi="宋体"/>
      <w:shd w:val="clear"/>
      <w:sz w:val="24"/>
      <w:szCs w:val="24"/>
      <w:w w:val="100"/>
    </w:rPr>
  </w:style>
  <w:style w:styleId="PO159" w:type="paragraph">
    <w:name w:val="Balloon Text"/>
    <w:basedOn w:val="PO1"/>
    <w:link w:val="PO160"/>
    <w:uiPriority w:val="159"/>
    <w:semiHidden/>
    <w:rPr>
      <w:shd w:val="clear"/>
      <w:sz w:val="18"/>
      <w:szCs w:val="18"/>
      <w:w w:val="100"/>
    </w:rPr>
  </w:style>
  <w:style w:customStyle="1" w:styleId="PO160" w:type="character">
    <w:name w:val="批注框文本 Char"/>
    <w:link w:val="PO159"/>
    <w:uiPriority w:val="160"/>
    <w:semiHidden/>
    <w:rPr>
      <w:rFonts w:ascii="宋体" w:eastAsia="Times New Roman" w:hAnsi="宋体"/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8319</Characters>
  <CharactersWithSpaces>0</CharactersWithSpaces>
  <Company>User</Company>
  <DocSecurity>0</DocSecurity>
  <HyperlinksChanged>false</HyperlinksChanged>
  <Lines>59</Lines>
  <LinksUpToDate>false</LinksUpToDate>
  <Pages>6</Pages>
  <Paragraphs>16</Paragraphs>
  <Words>1244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马静</dc:creator>
  <cp:lastModifiedBy/>
  <dcterms:modified xsi:type="dcterms:W3CDTF">2018-04-09T02:49:00Z</dcterms:modified>
</cp:coreProperties>
</file>